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电梯维保服务项目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b w:val="0"/>
          <w:bCs w:val="0"/>
          <w:i w:val="0"/>
          <w:iCs w:val="0"/>
          <w:caps w:val="0"/>
          <w:color w:val="auto"/>
          <w:spacing w:val="0"/>
          <w:kern w:val="0"/>
          <w:sz w:val="28"/>
          <w:szCs w:val="28"/>
          <w:highlight w:val="none"/>
          <w:lang w:val="en-US" w:eastAsia="zh-CN" w:bidi="ar"/>
        </w:rPr>
      </w:pPr>
      <w:r>
        <w:rPr>
          <w:rFonts w:hint="eastAsia" w:ascii="仿宋" w:hAnsi="仿宋" w:eastAsia="仿宋" w:cs="仿宋"/>
          <w:b w:val="0"/>
          <w:bCs w:val="0"/>
          <w:i w:val="0"/>
          <w:iCs w:val="0"/>
          <w:caps w:val="0"/>
          <w:color w:val="auto"/>
          <w:spacing w:val="0"/>
          <w:kern w:val="0"/>
          <w:sz w:val="28"/>
          <w:szCs w:val="28"/>
          <w:highlight w:val="none"/>
          <w:lang w:val="en-US" w:eastAsia="zh-CN" w:bidi="ar"/>
        </w:rPr>
        <w:t>赣州市肿瘤医院对电梯维保服务项目进行竞争性谈判，现欢迎符合资格条件的供应商前来参加。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ZW2024-0401</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0"/>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0"/>
          <w:rFonts w:hint="eastAsia" w:ascii="仿宋" w:hAnsi="仿宋" w:eastAsia="仿宋" w:cs="仿宋"/>
          <w:b/>
          <w:bCs/>
          <w:i w:val="0"/>
          <w:iCs w:val="0"/>
          <w:caps w:val="0"/>
          <w:color w:val="auto"/>
          <w:spacing w:val="0"/>
          <w:kern w:val="0"/>
          <w:sz w:val="28"/>
          <w:szCs w:val="28"/>
          <w:lang w:val="en-US" w:eastAsia="zh-CN" w:bidi="ar"/>
        </w:rPr>
        <w:t>三、采购内容：</w:t>
      </w:r>
    </w:p>
    <w:tbl>
      <w:tblPr>
        <w:tblStyle w:val="17"/>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highlight w:val="none"/>
                <w:lang w:val="en-US" w:eastAsia="zh-CN" w:bidi="ar"/>
              </w:rPr>
              <w:t>电梯维保服务</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年</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33600</w:t>
            </w:r>
          </w:p>
        </w:tc>
        <w:tc>
          <w:tcPr>
            <w:tcW w:w="1340" w:type="dxa"/>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bl>
    <w:p>
      <w:pPr>
        <w:keepNext w:val="0"/>
        <w:keepLines w:val="0"/>
        <w:widowControl/>
        <w:numPr>
          <w:ilvl w:val="0"/>
          <w:numId w:val="2"/>
        </w:numPr>
        <w:suppressLineNumbers w:val="0"/>
        <w:ind w:left="240" w:hanging="281" w:hangingChars="1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2"/>
        </w:numPr>
        <w:suppressLineNumbers w:val="0"/>
        <w:ind w:left="281" w:leftChars="0" w:hanging="281" w:hangingChars="1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响应供应商的资格要求：</w:t>
      </w:r>
    </w:p>
    <w:p>
      <w:pP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具有独立承担民事责任能力的法人或其他组织；</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2、具有独立承担民事责任的能力；</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3、具有履行合同所必需的设备和专业技术能力；</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4、具有良好的商业信誉和健全的财务会计制度；</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5、有依法缴纳税收的良好记录；</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6、参加政府采购活动近三年内，在经营活动中没有重大违法记录。</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7、具有中华人民共和国特种设备安装改造维修许可证。</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8.法律、行政法规规定的其他条件及项目特殊要求</w:t>
      </w:r>
    </w:p>
    <w:p>
      <w:pPr>
        <w:rPr>
          <w:rFonts w:hint="eastAsia" w:ascii="仿宋" w:hAnsi="仿宋" w:eastAsia="仿宋" w:cs="仿宋"/>
          <w:sz w:val="28"/>
          <w:szCs w:val="28"/>
        </w:rPr>
      </w:pPr>
      <w:r>
        <w:rPr>
          <w:rFonts w:hint="eastAsia" w:ascii="仿宋" w:hAnsi="仿宋" w:eastAsia="仿宋" w:cs="仿宋"/>
          <w:b w:val="0"/>
          <w:bCs w:val="0"/>
          <w:sz w:val="28"/>
          <w:szCs w:val="28"/>
        </w:rPr>
        <w:t>9</w:t>
      </w:r>
      <w:r>
        <w:rPr>
          <w:rFonts w:hint="eastAsia" w:ascii="仿宋" w:hAnsi="仿宋" w:eastAsia="仿宋" w:cs="仿宋"/>
          <w:sz w:val="28"/>
          <w:szCs w:val="28"/>
        </w:rPr>
        <w:t>.本项目不接受联合体参加竞争性谈判。</w:t>
      </w:r>
    </w:p>
    <w:p>
      <w:pPr>
        <w:keepNext w:val="0"/>
        <w:keepLines w:val="0"/>
        <w:widowControl/>
        <w:numPr>
          <w:ilvl w:val="0"/>
          <w:numId w:val="0"/>
        </w:numPr>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b/>
          <w:bCs/>
          <w:i w:val="0"/>
          <w:iCs w:val="0"/>
          <w:caps w:val="0"/>
          <w:color w:val="auto"/>
          <w:spacing w:val="0"/>
          <w:kern w:val="0"/>
          <w:sz w:val="28"/>
          <w:szCs w:val="28"/>
          <w:lang w:val="en-US" w:eastAsia="zh-CN" w:bidi="ar"/>
        </w:rPr>
        <w:t>六、</w:t>
      </w:r>
      <w:r>
        <w:rPr>
          <w:rStyle w:val="20"/>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本次竞争性谈判活动采用邮箱报名，不需要到现场报名，供应商须将报名表、营业执照扫描件于2024年4月15日下午17:00之前发送到到电子邮箱gzszlyycgb@126.com。如有疑问，请拨打电话0797-8105097 晏女士，13707074468 成先生。</w:t>
      </w:r>
    </w:p>
    <w:p>
      <w:pPr>
        <w:keepNext w:val="0"/>
        <w:keepLines w:val="0"/>
        <w:widowControl/>
        <w:numPr>
          <w:ilvl w:val="0"/>
          <w:numId w:val="0"/>
        </w:numPr>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现场响应截止时间：2024年4月16日（星期二）上午9：00。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八、付款方式：</w:t>
      </w:r>
    </w:p>
    <w:p>
      <w:pPr>
        <w:pStyle w:val="41"/>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每季度考核一次，考核合格后每季度据实结算</w:t>
      </w:r>
      <w:r>
        <w:rPr>
          <w:rFonts w:hint="eastAsia" w:ascii="仿宋" w:hAnsi="仿宋" w:eastAsia="仿宋" w:cs="仿宋"/>
          <w:sz w:val="28"/>
          <w:szCs w:val="28"/>
          <w:highlight w:val="none"/>
        </w:rPr>
        <w:t>。</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联系人：游先生</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8"/>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2024年4月12日</w:t>
      </w:r>
    </w:p>
    <w:p>
      <w:pPr>
        <w:rPr>
          <w:rFonts w:hint="eastAsia" w:ascii="仿宋" w:hAnsi="仿宋" w:eastAsia="仿宋" w:cs="仿宋"/>
          <w:color w:val="auto"/>
          <w:sz w:val="28"/>
          <w:szCs w:val="28"/>
        </w:rPr>
      </w:pP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29202"/>
      <w:bookmarkStart w:id="19" w:name="_Toc519"/>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w:t>
      </w:r>
      <w:r>
        <w:rPr>
          <w:rFonts w:hint="eastAsia" w:ascii="仿宋" w:hAnsi="仿宋" w:eastAsia="仿宋" w:cs="仿宋"/>
          <w:color w:val="auto"/>
          <w:kern w:val="0"/>
          <w:sz w:val="27"/>
          <w:szCs w:val="27"/>
          <w:highlight w:val="none"/>
          <w:lang w:val="en-US" w:eastAsia="zh-CN"/>
        </w:rPr>
        <w:t>20</w:t>
      </w:r>
      <w:r>
        <w:rPr>
          <w:rFonts w:hint="eastAsia" w:ascii="仿宋" w:hAnsi="仿宋" w:eastAsia="仿宋" w:cs="仿宋"/>
          <w:color w:val="auto"/>
          <w:kern w:val="0"/>
          <w:sz w:val="27"/>
          <w:szCs w:val="27"/>
          <w:highlight w:val="none"/>
        </w:rPr>
        <w:t>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bookmarkEnd w:id="20"/>
    <w:p>
      <w:pPr>
        <w:pStyle w:val="4"/>
        <w:numPr>
          <w:ilvl w:val="0"/>
          <w:numId w:val="1"/>
        </w:numPr>
        <w:ind w:left="0" w:leftChars="0" w:firstLine="2869" w:firstLineChars="893"/>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采购内容及采购需求</w:t>
      </w: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项目名称：电梯维保服务。</w:t>
      </w:r>
    </w:p>
    <w:p>
      <w:pPr>
        <w:pStyle w:val="2"/>
        <w:numPr>
          <w:ilvl w:val="0"/>
          <w:numId w:val="3"/>
        </w:num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预算：33600.00元。</w:t>
      </w:r>
    </w:p>
    <w:tbl>
      <w:tblPr>
        <w:tblStyle w:val="17"/>
        <w:tblW w:w="94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1198"/>
        <w:gridCol w:w="1131"/>
        <w:gridCol w:w="1200"/>
        <w:gridCol w:w="1719"/>
        <w:gridCol w:w="1241"/>
        <w:gridCol w:w="1281"/>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电梯品牌</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电梯型号</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电梯层数</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电梯地点</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维保期限</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Times New Roman"/>
                <w:sz w:val="24"/>
                <w:szCs w:val="24"/>
              </w:rPr>
            </w:pPr>
            <w:r>
              <w:rPr>
                <w:rFonts w:hint="eastAsia" w:ascii="仿宋" w:hAnsi="仿宋" w:eastAsia="仿宋" w:cs="Times New Roman"/>
                <w:sz w:val="24"/>
                <w:szCs w:val="24"/>
              </w:rPr>
              <w:t>保养金额</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Times New Roman"/>
                <w:sz w:val="24"/>
                <w:szCs w:val="24"/>
              </w:rPr>
              <w:t>（元</w:t>
            </w:r>
            <w:r>
              <w:rPr>
                <w:rFonts w:ascii="仿宋" w:hAnsi="仿宋" w:eastAsia="仿宋" w:cs="Times New Roman"/>
                <w:sz w:val="24"/>
                <w:szCs w:val="24"/>
              </w:rPr>
              <w:t>/月）</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4/4/4</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门诊大楼</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8/7/7</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1号住院部左梯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1号住院部右梯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GBS30K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1号楼职工电梯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GPS30K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1号楼污物梯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6/6/6</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2#左梯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美迪斯</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ST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5/5/5</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2号住院部右梯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486"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备注：报价包含300元以内配件免费</w:t>
            </w:r>
          </w:p>
        </w:tc>
      </w:tr>
    </w:tbl>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（3）采购需求：</w:t>
      </w:r>
    </w:p>
    <w:p>
      <w:pPr>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第一条 日常维护保养的电梯</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为《电梯维护保养及金额明细表》中列明的</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使用、管理的电梯提供日常的维护、保养和抢修服务。</w:t>
      </w:r>
    </w:p>
    <w:p>
      <w:pPr>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w:t>
      </w: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条 日常维护保养内容</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应当对应电梯类别，按照《电梯使用管理与维护保养规则》（TSG T5002－2017）相应附件</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中的要求完成半月、季度、半年、年度保养项目，并做好维护保养记录。</w:t>
      </w:r>
    </w:p>
    <w:p>
      <w:pPr>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w:t>
      </w:r>
      <w:r>
        <w:rPr>
          <w:rFonts w:hint="eastAsia" w:ascii="仿宋" w:hAnsi="仿宋" w:eastAsia="仿宋" w:cs="仿宋"/>
          <w:b/>
          <w:bCs/>
          <w:color w:val="auto"/>
          <w:sz w:val="28"/>
          <w:szCs w:val="28"/>
          <w:lang w:eastAsia="zh-CN"/>
        </w:rPr>
        <w:t>三</w:t>
      </w:r>
      <w:r>
        <w:rPr>
          <w:rFonts w:hint="eastAsia" w:ascii="仿宋" w:hAnsi="仿宋" w:eastAsia="仿宋" w:cs="仿宋"/>
          <w:b/>
          <w:bCs/>
          <w:color w:val="auto"/>
          <w:sz w:val="28"/>
          <w:szCs w:val="28"/>
        </w:rPr>
        <w:t>条 日常维护保养标准</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实施日常维护保养后的电梯应当符合《电梯维修规范》（GB/T18775）、《电梯制造与安装安全规范》（GB 7588）和《自动扶梯和自动人行道的制造与安装安全规范》（GB 16899）的相关规定。</w:t>
      </w:r>
    </w:p>
    <w:p>
      <w:pPr>
        <w:spacing w:line="240" w:lineRule="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其它要求：</w:t>
      </w:r>
    </w:p>
    <w:p>
      <w:pPr>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1、应当具备特种设备安全监督管理部门核发的相应许可</w:t>
      </w:r>
      <w:r>
        <w:rPr>
          <w:rFonts w:hint="eastAsia" w:ascii="仿宋" w:hAnsi="仿宋" w:eastAsia="仿宋" w:cs="仿宋"/>
          <w:b/>
          <w:bCs/>
          <w:color w:val="auto"/>
          <w:sz w:val="28"/>
          <w:szCs w:val="28"/>
          <w:lang w:eastAsia="zh-CN"/>
        </w:rPr>
        <w:t>证（提供复印件加盖公章）</w:t>
      </w:r>
      <w:r>
        <w:rPr>
          <w:rFonts w:hint="eastAsia" w:ascii="仿宋" w:hAnsi="仿宋" w:eastAsia="仿宋" w:cs="仿宋"/>
          <w:b/>
          <w:bCs/>
          <w:color w:val="auto"/>
          <w:sz w:val="28"/>
          <w:szCs w:val="28"/>
        </w:rPr>
        <w:t>。</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2、应当至少每15日对电梯进行一次清洁、润滑、调整和检查，如未及时进行保养且</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告知后仍未做保养，有权拒付当次保养费用。</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3、接到困人故障通知后，应当立即赶赴现场进行处理；电梯困人时，应当（此时间设区的市最长不超过30分钟，其他地区不超过60分钟）抵达现场。</w:t>
      </w:r>
    </w:p>
    <w:p>
      <w:pPr>
        <w:spacing w:line="240" w:lineRule="auto"/>
        <w:rPr>
          <w:rFonts w:hint="eastAsia" w:ascii="仿宋" w:hAnsi="仿宋" w:eastAsia="仿宋" w:cs="仿宋"/>
          <w:b/>
          <w:bCs/>
          <w:color w:val="auto"/>
          <w:sz w:val="28"/>
          <w:szCs w:val="28"/>
        </w:rPr>
      </w:pPr>
      <w:r>
        <w:rPr>
          <w:rFonts w:hint="eastAsia" w:ascii="仿宋" w:hAnsi="仿宋" w:eastAsia="仿宋" w:cs="仿宋"/>
          <w:b w:val="0"/>
          <w:bCs w:val="0"/>
          <w:color w:val="auto"/>
          <w:sz w:val="28"/>
          <w:szCs w:val="28"/>
        </w:rPr>
        <w:t>4、现场作业人员应当取得相应的《特种设备作业人员证》</w:t>
      </w:r>
      <w:r>
        <w:rPr>
          <w:rFonts w:hint="eastAsia" w:ascii="仿宋" w:hAnsi="仿宋" w:eastAsia="仿宋" w:cs="仿宋"/>
          <w:b w:val="0"/>
          <w:bCs w:val="0"/>
          <w:color w:val="auto"/>
          <w:sz w:val="28"/>
          <w:szCs w:val="28"/>
          <w:lang w:eastAsia="zh-CN"/>
        </w:rPr>
        <w:t>（提供复印件加盖公章）</w:t>
      </w:r>
      <w:r>
        <w:rPr>
          <w:rFonts w:hint="eastAsia" w:ascii="仿宋" w:hAnsi="仿宋" w:eastAsia="仿宋" w:cs="仿宋"/>
          <w:b w:val="0"/>
          <w:bCs w:val="0"/>
          <w:color w:val="auto"/>
          <w:sz w:val="28"/>
          <w:szCs w:val="28"/>
        </w:rPr>
        <w:t>。</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5、作业中应当负责落实现场安全防护措施，保证作业安全。</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6、向</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提出合理化建议并每月向</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书面报告所维护保养电梯的运行情况、零部件使用情况、易损件的更换情况及电梯更换修理需求。</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7、对所维护保养电梯的安全运行负责，保障设备整机及零部件完整无损。</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8、建立回访制度（包括工作人员服务态度、维修质量、是否按照规定实施维护保养等）。</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9、应当配合电梯检验检测机构对电梯的定期检验，并参与电梯安全管理活动。</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10、应当妥善保管电梯图纸及相关资料，并在合同终止后交给</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1、如因保养不到位造成的事故损失由乙方承担。</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12、不得以任何形式分包、转包。</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13、</w:t>
      </w:r>
      <w:r>
        <w:rPr>
          <w:rFonts w:hint="eastAsia" w:ascii="仿宋" w:hAnsi="仿宋" w:eastAsia="仿宋" w:cs="仿宋"/>
          <w:color w:val="auto"/>
          <w:sz w:val="28"/>
          <w:szCs w:val="28"/>
        </w:rPr>
        <w:t>因维护保养原因导致人身伤亡或设备损坏、丢失的，由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承担全部责任。</w:t>
      </w: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14、</w:t>
      </w:r>
      <w:r>
        <w:rPr>
          <w:rFonts w:hint="eastAsia" w:ascii="仿宋" w:hAnsi="仿宋" w:eastAsia="仿宋" w:cs="仿宋"/>
          <w:color w:val="auto"/>
          <w:sz w:val="28"/>
          <w:szCs w:val="28"/>
        </w:rPr>
        <w:t>因维护保养原因导致电梯检验检测不合格的，</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还应当承担电梯复验费用。</w:t>
      </w:r>
    </w:p>
    <w:p>
      <w:pPr>
        <w:pStyle w:val="2"/>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报价文件要求：</w:t>
      </w:r>
    </w:p>
    <w:p>
      <w:pPr>
        <w:ind w:firstLine="560" w:firstLineChars="200"/>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rPr>
        <w:t>报价文件还需包括以下资料：报价函、营业执照复印件、法人身份证复印件（适用于无委托代理人的情况）、授权委托书（适用于有委托代理人的情况）、具备特种设备安全监督管理部门核发的许可证；按照行业要求拟派人员需要持有的资质证书</w:t>
      </w:r>
      <w:r>
        <w:rPr>
          <w:rFonts w:hint="eastAsia" w:ascii="仿宋" w:hAnsi="仿宋" w:eastAsia="仿宋" w:cs="仿宋"/>
          <w:i w:val="0"/>
          <w:iCs w:val="0"/>
          <w:caps w:val="0"/>
          <w:spacing w:val="0"/>
          <w:sz w:val="28"/>
          <w:szCs w:val="28"/>
          <w:shd w:val="clear" w:fill="FFFFFF"/>
          <w:lang w:val="en-US" w:eastAsia="zh-CN"/>
        </w:rPr>
        <w:t>、</w:t>
      </w:r>
      <w:r>
        <w:rPr>
          <w:rFonts w:hint="eastAsia" w:ascii="仿宋" w:hAnsi="仿宋" w:eastAsia="仿宋" w:cs="仿宋"/>
          <w:i w:val="0"/>
          <w:iCs w:val="0"/>
          <w:caps w:val="0"/>
          <w:spacing w:val="0"/>
          <w:sz w:val="28"/>
          <w:szCs w:val="28"/>
          <w:shd w:val="clear" w:fill="FFFFFF"/>
        </w:rPr>
        <w:t>信誉承诺表。以上资料均需要加盖公司公章。</w:t>
      </w:r>
    </w:p>
    <w:p>
      <w:pPr>
        <w:rPr>
          <w:rFonts w:hint="eastAsia" w:ascii="仿宋" w:hAnsi="仿宋" w:eastAsia="仿宋" w:cs="仿宋"/>
          <w:sz w:val="28"/>
          <w:szCs w:val="28"/>
          <w:lang w:val="en-US" w:eastAsia="zh-CN"/>
        </w:rPr>
      </w:pPr>
      <w:r>
        <w:rPr>
          <w:rFonts w:hint="eastAsia" w:ascii="仿宋" w:hAnsi="仿宋" w:eastAsia="仿宋" w:cs="仿宋"/>
          <w:i w:val="0"/>
          <w:iCs w:val="0"/>
          <w:caps w:val="0"/>
          <w:spacing w:val="0"/>
          <w:sz w:val="28"/>
          <w:szCs w:val="28"/>
          <w:shd w:val="clear" w:fill="FFFFFF"/>
        </w:rPr>
        <w:t>报价文件应按采购人公开采购公告的要求由供应商法人或者法人授权委托人递交至指定地点，报价文件需要密封并在封口处加盖公章，</w:t>
      </w:r>
      <w:r>
        <w:rPr>
          <w:rFonts w:hint="eastAsia" w:ascii="仿宋" w:hAnsi="仿宋" w:eastAsia="仿宋" w:cs="仿宋"/>
          <w:i w:val="0"/>
          <w:iCs w:val="0"/>
          <w:caps w:val="0"/>
          <w:spacing w:val="0"/>
          <w:sz w:val="28"/>
          <w:szCs w:val="28"/>
          <w:shd w:val="clear" w:fill="FFFFFF"/>
          <w:lang w:val="en-US" w:eastAsia="zh-CN"/>
        </w:rPr>
        <w:t>一</w:t>
      </w:r>
      <w:r>
        <w:rPr>
          <w:rFonts w:hint="eastAsia" w:ascii="仿宋" w:hAnsi="仿宋" w:eastAsia="仿宋" w:cs="仿宋"/>
          <w:i w:val="0"/>
          <w:iCs w:val="0"/>
          <w:caps w:val="0"/>
          <w:spacing w:val="0"/>
          <w:sz w:val="28"/>
          <w:szCs w:val="28"/>
          <w:shd w:val="clear" w:fill="FFFFFF"/>
        </w:rPr>
        <w:t>正本</w:t>
      </w:r>
      <w:r>
        <w:rPr>
          <w:rFonts w:hint="eastAsia" w:ascii="仿宋" w:hAnsi="仿宋" w:eastAsia="仿宋" w:cs="仿宋"/>
          <w:i w:val="0"/>
          <w:iCs w:val="0"/>
          <w:caps w:val="0"/>
          <w:spacing w:val="0"/>
          <w:sz w:val="28"/>
          <w:szCs w:val="28"/>
          <w:shd w:val="clear" w:fill="FFFFFF"/>
          <w:lang w:val="en-US" w:eastAsia="zh-CN"/>
        </w:rPr>
        <w:t>二</w:t>
      </w:r>
      <w:r>
        <w:rPr>
          <w:rFonts w:hint="eastAsia" w:ascii="仿宋" w:hAnsi="仿宋" w:eastAsia="仿宋" w:cs="仿宋"/>
          <w:i w:val="0"/>
          <w:iCs w:val="0"/>
          <w:caps w:val="0"/>
          <w:spacing w:val="0"/>
          <w:sz w:val="28"/>
          <w:szCs w:val="28"/>
          <w:shd w:val="clear" w:fill="FFFFFF"/>
        </w:rPr>
        <w:t>副本分别胶装，逾期或不符合规定的报价文件不予接受。</w:t>
      </w:r>
    </w:p>
    <w:p>
      <w:pPr>
        <w:pStyle w:val="16"/>
        <w:ind w:left="440" w:firstLine="480"/>
        <w:rPr>
          <w:rFonts w:hint="eastAsia" w:ascii="仿宋" w:hAnsi="仿宋" w:eastAsia="仿宋" w:cs="仿宋"/>
          <w:sz w:val="28"/>
          <w:szCs w:val="28"/>
        </w:rPr>
      </w:pPr>
    </w:p>
    <w:p>
      <w:pPr>
        <w:pStyle w:val="33"/>
        <w:rPr>
          <w:rFonts w:hint="default" w:eastAsia="仿宋"/>
          <w:b/>
          <w:bCs/>
          <w:lang w:val="en-US" w:eastAsia="zh-CN"/>
        </w:rPr>
      </w:pPr>
    </w:p>
    <w:p>
      <w:pPr>
        <w:pStyle w:val="33"/>
        <w:rPr>
          <w:rFonts w:hint="default" w:eastAsia="仿宋"/>
          <w:b/>
          <w:bCs/>
          <w:lang w:val="en-US" w:eastAsia="zh-CN"/>
        </w:rPr>
      </w:pPr>
    </w:p>
    <w:p>
      <w:pPr>
        <w:pStyle w:val="33"/>
        <w:rPr>
          <w:rFonts w:hint="default" w:eastAsia="仿宋"/>
          <w:b/>
          <w:bCs/>
          <w:lang w:val="en-US" w:eastAsia="zh-CN"/>
        </w:rPr>
      </w:pPr>
    </w:p>
    <w:p>
      <w:pPr>
        <w:pStyle w:val="33"/>
        <w:rPr>
          <w:rFonts w:hint="default" w:eastAsia="仿宋"/>
          <w:b/>
          <w:bCs/>
          <w:lang w:val="en-US" w:eastAsia="zh-CN"/>
        </w:rPr>
      </w:pPr>
    </w:p>
    <w:p>
      <w:pPr>
        <w:autoSpaceDN w:val="0"/>
        <w:spacing w:after="210" w:line="240" w:lineRule="auto"/>
        <w:rPr>
          <w:rFonts w:hint="eastAsia" w:ascii="宋体" w:hAnsi="宋体" w:cs="宋体"/>
          <w:b/>
          <w:kern w:val="0"/>
          <w:sz w:val="24"/>
          <w:szCs w:val="24"/>
          <w:lang w:val="en-US" w:eastAsia="zh-CN"/>
        </w:rPr>
      </w:pPr>
    </w:p>
    <w:p>
      <w:pPr>
        <w:autoSpaceDN w:val="0"/>
        <w:spacing w:after="210" w:line="240" w:lineRule="auto"/>
        <w:rPr>
          <w:rFonts w:hint="eastAsia" w:ascii="宋体" w:hAnsi="宋体" w:cs="宋体"/>
          <w:b/>
          <w:kern w:val="0"/>
          <w:sz w:val="24"/>
          <w:szCs w:val="24"/>
          <w:lang w:val="en-US" w:eastAsia="zh-CN"/>
        </w:rPr>
      </w:pPr>
    </w:p>
    <w:p>
      <w:pPr>
        <w:autoSpaceDN w:val="0"/>
        <w:spacing w:after="210" w:line="240" w:lineRule="auto"/>
        <w:rPr>
          <w:rFonts w:hint="eastAsia" w:ascii="宋体" w:hAnsi="宋体" w:cs="宋体"/>
          <w:b/>
          <w:kern w:val="0"/>
          <w:sz w:val="24"/>
          <w:szCs w:val="24"/>
          <w:lang w:val="en-US" w:eastAsia="zh-CN"/>
        </w:rPr>
      </w:pPr>
    </w:p>
    <w:p>
      <w:pPr>
        <w:autoSpaceDN w:val="0"/>
        <w:spacing w:after="210" w:line="240" w:lineRule="auto"/>
        <w:rPr>
          <w:rFonts w:hint="eastAsia" w:ascii="宋体" w:hAnsi="宋体" w:cs="宋体"/>
          <w:b/>
          <w:kern w:val="0"/>
          <w:sz w:val="24"/>
          <w:szCs w:val="24"/>
          <w:lang w:val="en-US" w:eastAsia="zh-CN"/>
        </w:rPr>
      </w:pPr>
    </w:p>
    <w:p>
      <w:pPr>
        <w:autoSpaceDN w:val="0"/>
        <w:spacing w:after="210" w:line="240" w:lineRule="auto"/>
        <w:rPr>
          <w:rFonts w:hint="eastAsia" w:ascii="宋体" w:hAnsi="宋体" w:cs="宋体"/>
          <w:b/>
          <w:kern w:val="0"/>
          <w:sz w:val="24"/>
          <w:szCs w:val="24"/>
          <w:lang w:val="en-US" w:eastAsia="zh-CN"/>
        </w:rPr>
      </w:pPr>
    </w:p>
    <w:p>
      <w:pPr>
        <w:autoSpaceDN w:val="0"/>
        <w:spacing w:after="210" w:line="240" w:lineRule="auto"/>
        <w:rPr>
          <w:rFonts w:hint="eastAsia" w:ascii="宋体" w:hAnsi="宋体" w:cs="宋体" w:eastAsiaTheme="minorEastAsia"/>
          <w:b/>
          <w:kern w:val="0"/>
          <w:sz w:val="24"/>
          <w:szCs w:val="24"/>
          <w:lang w:val="en-US" w:eastAsia="zh-CN"/>
        </w:rPr>
      </w:pPr>
      <w:r>
        <w:rPr>
          <w:rFonts w:hint="eastAsia" w:ascii="宋体" w:hAnsi="宋体" w:cs="宋体"/>
          <w:b/>
          <w:kern w:val="0"/>
          <w:sz w:val="24"/>
          <w:szCs w:val="24"/>
          <w:lang w:val="en-US" w:eastAsia="zh-CN"/>
        </w:rPr>
        <w:t>附</w:t>
      </w:r>
      <w:r>
        <w:rPr>
          <w:rFonts w:hint="eastAsia" w:ascii="宋体" w:hAnsi="宋体" w:cs="宋体"/>
          <w:b/>
          <w:kern w:val="0"/>
          <w:sz w:val="24"/>
          <w:szCs w:val="24"/>
        </w:rPr>
        <w:t>件</w:t>
      </w:r>
      <w:r>
        <w:rPr>
          <w:rFonts w:hint="eastAsia" w:ascii="宋体" w:hAnsi="宋体" w:cs="宋体"/>
          <w:b/>
          <w:kern w:val="0"/>
          <w:sz w:val="24"/>
          <w:szCs w:val="24"/>
          <w:lang w:val="en-US" w:eastAsia="zh-CN"/>
        </w:rPr>
        <w:t>1</w:t>
      </w:r>
    </w:p>
    <w:p>
      <w:pPr>
        <w:widowControl/>
        <w:spacing w:line="240" w:lineRule="auto"/>
        <w:jc w:val="center"/>
        <w:rPr>
          <w:rFonts w:hint="eastAsia" w:ascii="宋体" w:hAnsi="宋体" w:cs="宋体"/>
          <w:b/>
          <w:kern w:val="0"/>
          <w:sz w:val="24"/>
          <w:szCs w:val="24"/>
        </w:rPr>
      </w:pPr>
      <w:r>
        <w:rPr>
          <w:rFonts w:hint="eastAsia" w:ascii="宋体" w:hAnsi="宋体" w:cs="宋体"/>
          <w:b/>
          <w:kern w:val="0"/>
          <w:sz w:val="24"/>
          <w:szCs w:val="24"/>
        </w:rPr>
        <w:t>乘客电梯、载货电梯日常维护保养项目（内容）和要求</w:t>
      </w:r>
    </w:p>
    <w:p>
      <w:pPr>
        <w:widowControl/>
        <w:spacing w:line="240" w:lineRule="auto"/>
        <w:jc w:val="center"/>
        <w:rPr>
          <w:rFonts w:hint="eastAsia" w:ascii="宋体" w:hAnsi="宋体" w:cs="宋体"/>
          <w:kern w:val="0"/>
          <w:sz w:val="24"/>
          <w:szCs w:val="24"/>
        </w:rPr>
      </w:pP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 A1  半月维保项目（内容）和要求</w:t>
      </w: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见表A-1。</w:t>
      </w:r>
    </w:p>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表A-1  半月维保项目（内容）和要求</w:t>
      </w:r>
    </w:p>
    <w:tbl>
      <w:tblPr>
        <w:tblStyle w:val="1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38"/>
        <w:gridCol w:w="4194"/>
        <w:gridCol w:w="10"/>
        <w:gridCol w:w="3555"/>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序号</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维保项目（内容）</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机房、滑轮间环境</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 xml:space="preserve">清洁，门窗完好、照明正常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手动紧急操作装置</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齐全，在指定位置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驱动主机</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运行时无异常振动和异常声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4</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制动器各销轴部位</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动作灵活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193" w:hRule="atLeast"/>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5</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制动器间隙</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打开时制动衬与制动轮不应发生摩擦，间隙值符合制造单位要求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7" w:hRule="atLeast"/>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6</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制动器作为轿厢意外移动保护装置制停子系统时的自监测</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制动力人工方式检测符合使用维护说明书工求；制动力自监测系统有记录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7</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编码器</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清洁，安装牢固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8</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限速器各销轴部位</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润滑，转动灵活；电气开关正常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9</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层门和轿门旁路装置</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紧急电动运行</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11</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轿顶</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清洁，防护拦安全可靠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12</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轿顶检修开关、急停开关</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13</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导靴上油杯</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吸油毛毡齐全，油量适宜，油杯无泄漏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14</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对重块及其压板</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对重块无松动，压板紧固。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15</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井道照明</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齐全、正常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16</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轿厢照明、风扇、应急照明</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17</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轿厢检修开关、急停开关</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18</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轿内报警装置、对讲系统</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18</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轿内显示、指令按钮</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20</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轿门防撞去保护装置（安全触板，光幕、光电等）</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21</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轿门门锁电气触点</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 触点接触良好，接线可靠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22</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轿门运行</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开启和关闭工作正常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23</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轿厢平层精度</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24</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层站召唤、层楼显示</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齐全、有效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25</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层门地坎</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26</w:t>
            </w:r>
          </w:p>
        </w:tc>
        <w:tc>
          <w:tcPr>
            <w:tcW w:w="420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层门自动关门装置</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9" w:hRule="atLeast"/>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27</w:t>
            </w:r>
          </w:p>
        </w:tc>
        <w:tc>
          <w:tcPr>
            <w:tcW w:w="4194"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层门门锁自动复位</w:t>
            </w:r>
          </w:p>
        </w:tc>
        <w:tc>
          <w:tcPr>
            <w:tcW w:w="3572"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用层门钥匙打开手动开锁装置释放后，层门门锁能自动复位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28</w:t>
            </w:r>
          </w:p>
        </w:tc>
        <w:tc>
          <w:tcPr>
            <w:tcW w:w="4194"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层门门锁电气触点</w:t>
            </w:r>
          </w:p>
        </w:tc>
        <w:tc>
          <w:tcPr>
            <w:tcW w:w="3572"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 触点接触良好，接线可靠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29</w:t>
            </w:r>
          </w:p>
        </w:tc>
        <w:tc>
          <w:tcPr>
            <w:tcW w:w="4194"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层门锁紧元件啮合长度</w:t>
            </w:r>
          </w:p>
        </w:tc>
        <w:tc>
          <w:tcPr>
            <w:tcW w:w="3572"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不小于7mm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30</w:t>
            </w:r>
          </w:p>
        </w:tc>
        <w:tc>
          <w:tcPr>
            <w:tcW w:w="4194"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底坑环境</w:t>
            </w:r>
          </w:p>
        </w:tc>
        <w:tc>
          <w:tcPr>
            <w:tcW w:w="3572"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清洁，无渗水、积水，照明正常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8"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31</w:t>
            </w:r>
          </w:p>
        </w:tc>
        <w:tc>
          <w:tcPr>
            <w:tcW w:w="4194"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底坑急停开关</w:t>
            </w:r>
          </w:p>
        </w:tc>
        <w:tc>
          <w:tcPr>
            <w:tcW w:w="3572"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bl>
    <w:p>
      <w:pPr>
        <w:widowControl/>
        <w:spacing w:line="240" w:lineRule="auto"/>
        <w:jc w:val="left"/>
        <w:rPr>
          <w:rFonts w:hint="eastAsia" w:ascii="宋体" w:hAnsi="宋体" w:cs="宋体"/>
          <w:kern w:val="0"/>
          <w:sz w:val="24"/>
          <w:szCs w:val="24"/>
        </w:rPr>
      </w:pPr>
    </w:p>
    <w:p>
      <w:pPr>
        <w:widowControl/>
        <w:spacing w:line="240" w:lineRule="auto"/>
        <w:jc w:val="left"/>
        <w:rPr>
          <w:rFonts w:hint="eastAsia" w:ascii="宋体" w:hAnsi="宋体" w:cs="宋体"/>
          <w:kern w:val="0"/>
          <w:sz w:val="24"/>
          <w:szCs w:val="24"/>
        </w:rPr>
      </w:pP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A2  季度维保项目（内容）和要求</w:t>
      </w: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季度维保项目（内容）和要求除符合A1半月维保的项目（内容）和要求外，还应当符合表A-2的项目（内容）和要求。</w:t>
      </w:r>
    </w:p>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表A-2  季度维保项目（内容）和要求</w:t>
      </w:r>
    </w:p>
    <w:tbl>
      <w:tblPr>
        <w:tblStyle w:val="1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50"/>
        <w:gridCol w:w="3360"/>
        <w:gridCol w:w="52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序号</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维保项目（内容）</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减速机润滑油</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油量适宜，除蜗杆伸出端外均无渗漏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制动衬</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编码器</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4</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选层器动静触点</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清洁，无烧蚀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5</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曳引轮槽、曳引钢丝绳</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清洁，无严重油腻，张力均匀，符合制造单位要求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6</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限速器轮槽、限速器钢丝绳</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清洁，无严重油腻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7</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靴衬、滚轮</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8</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验证轿门关闭的电气安全装置</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9</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层门、轿门系统中传动钢丝绳、链条、传动带</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按照制造单位要求进行清洁、调整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层门门导靴</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11</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消防开关</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工作正常，功能有效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12</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耗能缓冲器</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电气安全装置功能有效，油量适宜，柱塞无锈蚀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13</w:t>
            </w:r>
          </w:p>
        </w:tc>
        <w:tc>
          <w:tcPr>
            <w:tcW w:w="33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限速器张紧轮装置和电气安全装置</w:t>
            </w:r>
          </w:p>
        </w:tc>
        <w:tc>
          <w:tcPr>
            <w:tcW w:w="522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bl>
    <w:p>
      <w:pPr>
        <w:widowControl/>
        <w:spacing w:line="240" w:lineRule="auto"/>
        <w:jc w:val="left"/>
        <w:rPr>
          <w:rFonts w:hint="eastAsia" w:ascii="宋体" w:hAnsi="宋体" w:cs="宋体"/>
          <w:kern w:val="0"/>
          <w:sz w:val="24"/>
          <w:szCs w:val="24"/>
        </w:rPr>
      </w:pPr>
    </w:p>
    <w:p>
      <w:pPr>
        <w:pStyle w:val="45"/>
        <w:rPr>
          <w:rFonts w:hint="eastAsia"/>
        </w:rPr>
      </w:pP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A3  半年维保项目（内容）和要求</w:t>
      </w: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半年维保项目（内容）和要求除符合A2季度维保的项目（内容）和要求外，还应当符合表A-3的项目（内容）和要求。</w:t>
      </w:r>
    </w:p>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表A-3  半年维保项目（内容）和要求</w:t>
      </w:r>
    </w:p>
    <w:tbl>
      <w:tblPr>
        <w:tblStyle w:val="1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50"/>
        <w:gridCol w:w="3555"/>
        <w:gridCol w:w="47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序号</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维保项目（内容）</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电动机与减速机联轴器</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连接无松动，弹性元件外观良好、无老化等现象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曳引轮、导向轮轴承部</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无异常声，无振动，润滑良好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曳引轮槽</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4</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制动器动作状态监测装置</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工作正常，制动器动作可靠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5</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控制柜内各接线端子</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各接线紧固、整齐，线号齐全清晰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6</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控制柜各仪表</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显示正确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7</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井道、对重、轿顶各反绳轮轴承部</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无异常声，无振动，润滑良好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8</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曳引绳、补偿绳</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磨损量、断丝数不超过要求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9</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绳头组合</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螺母无松动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限速器钢丝绳</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磨损量、断丝数不超过制造单位要求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11</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层门、轿门门扇</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门扇各相关间隙符合标准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12</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轿门开门限制装置</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13</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对重缓冲距</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14</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补偿链（绳）与轿厢、对重接合处</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15</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上下极限开关</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5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16</w:t>
            </w:r>
          </w:p>
        </w:tc>
        <w:tc>
          <w:tcPr>
            <w:tcW w:w="355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其它项目</w:t>
            </w:r>
          </w:p>
        </w:tc>
        <w:tc>
          <w:tcPr>
            <w:tcW w:w="4785"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p>
        </w:tc>
      </w:tr>
    </w:tbl>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A4  年度维保项目（内容）和要求</w:t>
      </w:r>
    </w:p>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年度维保项目（内容）和要求除符合A3半年维保的项目（内容）和要求外，还应当符合表A-4的项目（内容）和要求。</w:t>
      </w:r>
    </w:p>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表A-4  年度维保项目（内容）和要求</w:t>
      </w:r>
    </w:p>
    <w:tbl>
      <w:tblPr>
        <w:tblStyle w:val="1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17"/>
        <w:gridCol w:w="3677"/>
        <w:gridCol w:w="4606"/>
        <w:gridCol w:w="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序号</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维保项目（内容）</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维保基本要求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减速机润滑油</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按照制造单位要求适时更换，保证油质符合要求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2</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控制柜接触器，继电器触点</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接触良好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3</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制动器铁芯（柱塞）</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进行清洁、润滑、检查，磨损量不超过制造单位要求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4</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制动器制动能力</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符合制造单位要求，保持有足够的制动力，必要时进行轿厢装载125%额定载重量的制动试验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5</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导电回路绝缘性能测试</w:t>
            </w:r>
          </w:p>
        </w:tc>
        <w:tc>
          <w:tcPr>
            <w:tcW w:w="469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符合标准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6</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限速器安全钳联动试验（对于使用年限不超过15年的限速器，每2年进行一次限速器动作速度校验；对于使用年限超过15年的限速器，每年进行一次限速器动作速度校验）</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7</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上行超速保护装置动作试验</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8</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轿厢意外移动保护装置动作试验</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工作正常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9</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轿顶、轿厢架、轿门及其附件安装螺栓</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轿厢和对重的导轨支架</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 xml:space="preserve">固定，无松动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11</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轿厢和对重的导轨</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清洁，压板牢固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12</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随行电缆</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无损伤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13</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层门装置和地坎</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无影响正常使用的变形，各安装螺栓紧固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14</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轿厢称重装置</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准确有效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15</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安全钳钳座</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16</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轿底各安装螺栓</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紧固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17</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缓冲器</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固定，无松动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7" w:type="dxa"/>
          <w:tblCellSpacing w:w="0" w:type="dxa"/>
          <w:jc w:val="center"/>
        </w:trPr>
        <w:tc>
          <w:tcPr>
            <w:tcW w:w="71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center"/>
              <w:rPr>
                <w:rFonts w:hint="eastAsia" w:ascii="宋体" w:hAnsi="宋体" w:cs="宋体"/>
                <w:kern w:val="0"/>
                <w:sz w:val="24"/>
                <w:szCs w:val="24"/>
              </w:rPr>
            </w:pPr>
            <w:r>
              <w:rPr>
                <w:rFonts w:hint="eastAsia" w:ascii="宋体" w:hAnsi="宋体" w:cs="宋体"/>
                <w:kern w:val="0"/>
                <w:sz w:val="24"/>
                <w:szCs w:val="24"/>
              </w:rPr>
              <w:t>18</w:t>
            </w:r>
          </w:p>
        </w:tc>
        <w:tc>
          <w:tcPr>
            <w:tcW w:w="3677"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r>
              <w:rPr>
                <w:rFonts w:hint="eastAsia" w:ascii="宋体" w:hAnsi="宋体" w:cs="宋体"/>
                <w:kern w:val="0"/>
                <w:sz w:val="24"/>
                <w:szCs w:val="24"/>
              </w:rPr>
              <w:t>其它项目</w:t>
            </w:r>
          </w:p>
        </w:tc>
        <w:tc>
          <w:tcPr>
            <w:tcW w:w="4606"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uto"/>
              <w:jc w:val="left"/>
              <w:rPr>
                <w:rFonts w:hint="eastAsia" w:ascii="宋体" w:hAnsi="宋体" w:cs="宋体"/>
                <w:kern w:val="0"/>
                <w:sz w:val="24"/>
                <w:szCs w:val="24"/>
              </w:rPr>
            </w:pPr>
          </w:p>
        </w:tc>
      </w:tr>
    </w:tbl>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19814"/>
      <w:bookmarkStart w:id="24" w:name="_Toc413396840"/>
      <w:bookmarkStart w:id="25" w:name="_Toc331493648"/>
      <w:bookmarkStart w:id="26" w:name="_Toc22759"/>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rPr>
      </w:pPr>
      <w:bookmarkStart w:id="27" w:name="_Toc480191543"/>
      <w:bookmarkStart w:id="28" w:name="_Toc485736232"/>
      <w:bookmarkStart w:id="29" w:name="_Toc413396845"/>
      <w:bookmarkStart w:id="30" w:name="_Toc331493653"/>
      <w:bookmarkStart w:id="31" w:name="_Toc6176"/>
      <w:bookmarkStart w:id="32" w:name="_Toc1161"/>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tbl>
      <w:tblPr>
        <w:tblStyle w:val="17"/>
        <w:tblW w:w="94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1198"/>
        <w:gridCol w:w="1131"/>
        <w:gridCol w:w="1200"/>
        <w:gridCol w:w="1719"/>
        <w:gridCol w:w="1241"/>
        <w:gridCol w:w="1281"/>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电梯品牌</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电梯型号</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电梯层数</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电梯地点</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维保期限</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Times New Roman"/>
                <w:sz w:val="24"/>
                <w:szCs w:val="24"/>
              </w:rPr>
            </w:pPr>
            <w:r>
              <w:rPr>
                <w:rFonts w:hint="eastAsia" w:ascii="仿宋" w:hAnsi="仿宋" w:eastAsia="仿宋" w:cs="Times New Roman"/>
                <w:sz w:val="24"/>
                <w:szCs w:val="24"/>
              </w:rPr>
              <w:t>保养金额</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Times New Roman"/>
                <w:sz w:val="24"/>
                <w:szCs w:val="24"/>
              </w:rPr>
              <w:t>（元</w:t>
            </w:r>
            <w:r>
              <w:rPr>
                <w:rFonts w:ascii="仿宋" w:hAnsi="仿宋" w:eastAsia="仿宋" w:cs="Times New Roman"/>
                <w:sz w:val="24"/>
                <w:szCs w:val="24"/>
              </w:rPr>
              <w:t>/月）</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4/4/4</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门诊大楼</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8/7/7</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1号住院部左梯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1号住院部右梯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GBS30K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1号楼职工电梯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GPS30K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8/8/8</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1号楼污物梯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巨人通力</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GBS20K</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6/6/6</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2#左梯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美迪斯</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ST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5/5/5</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Arial" w:hAnsi="Arial" w:eastAsia="宋体" w:cs="Arial"/>
                <w:i w:val="0"/>
                <w:iCs w:val="0"/>
                <w:color w:val="000000"/>
                <w:kern w:val="0"/>
                <w:sz w:val="20"/>
                <w:szCs w:val="20"/>
                <w:u w:val="none"/>
                <w:lang w:val="en-US" w:eastAsia="zh-CN" w:bidi="ar"/>
              </w:rPr>
              <w:t>2号住院部右梯</w:t>
            </w:r>
          </w:p>
        </w:tc>
        <w:tc>
          <w:tcPr>
            <w:tcW w:w="12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12个月</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486"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             小写                               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486"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备注：报价包含300元以内配件免费</w:t>
            </w:r>
          </w:p>
        </w:tc>
      </w:tr>
    </w:tbl>
    <w:p>
      <w:pPr>
        <w:pStyle w:val="2"/>
        <w:rPr>
          <w:rFonts w:hint="eastAsia" w:ascii="仿宋" w:hAnsi="仿宋" w:eastAsia="仿宋" w:cs="仿宋"/>
          <w:color w:val="auto"/>
          <w:highlight w:val="none"/>
        </w:rPr>
      </w:pP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rPr>
      </w:pPr>
    </w:p>
    <w:bookmarkEnd w:id="29"/>
    <w:bookmarkEnd w:id="30"/>
    <w:bookmarkEnd w:id="31"/>
    <w:bookmarkEnd w:id="32"/>
    <w:p>
      <w:pPr>
        <w:keepNext/>
        <w:keepLines/>
        <w:spacing w:before="260" w:after="260" w:line="413" w:lineRule="auto"/>
        <w:jc w:val="both"/>
        <w:outlineLvl w:val="1"/>
        <w:rPr>
          <w:rFonts w:ascii="Arial" w:hAnsi="Arial" w:eastAsia="黑体"/>
          <w:b/>
          <w:bCs/>
          <w:color w:val="auto"/>
          <w:sz w:val="32"/>
          <w:szCs w:val="32"/>
          <w:highlight w:val="none"/>
        </w:rPr>
      </w:pPr>
      <w:bookmarkStart w:id="33" w:name="_Toc23201"/>
      <w:bookmarkStart w:id="34" w:name="_Toc7073"/>
      <w:bookmarkStart w:id="35"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423337568"/>
      <w:bookmarkStart w:id="38" w:name="_Toc469749011"/>
      <w:bookmarkStart w:id="39" w:name="_Toc3874"/>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469749013"/>
      <w:bookmarkStart w:id="41" w:name="_Toc23487"/>
      <w:bookmarkStart w:id="42" w:name="_Toc423337570"/>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17890583"/>
      <w:bookmarkStart w:id="44" w:name="_Toc423337571"/>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24750"/>
      <w:bookmarkStart w:id="48" w:name="_Toc469749014"/>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225"/>
      <w:bookmarkStart w:id="56"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keepNext/>
        <w:keepLines/>
        <w:spacing w:before="260" w:after="260" w:line="413" w:lineRule="auto"/>
        <w:jc w:val="both"/>
        <w:outlineLvl w:val="1"/>
        <w:rPr>
          <w:rFonts w:ascii="Arial" w:hAnsi="Arial" w:eastAsia="黑体"/>
          <w:b/>
          <w:bCs/>
          <w:color w:val="auto"/>
          <w:sz w:val="32"/>
          <w:szCs w:val="32"/>
          <w:highlight w:val="none"/>
        </w:rPr>
      </w:pPr>
      <w:bookmarkStart w:id="57" w:name="_Toc469749018"/>
      <w:bookmarkStart w:id="58" w:name="_Toc423337575"/>
      <w:bookmarkStart w:id="59"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default" w:eastAsia="仿宋"/>
          <w:sz w:val="32"/>
          <w:szCs w:val="32"/>
          <w:lang w:val="en-US" w:eastAsia="zh-CN"/>
        </w:rPr>
      </w:pPr>
      <w:r>
        <w:rPr>
          <w:rFonts w:hint="eastAsia" w:ascii="仿宋" w:hAnsi="仿宋" w:eastAsia="仿宋" w:cs="仿宋"/>
          <w:color w:val="auto"/>
          <w:sz w:val="32"/>
          <w:szCs w:val="32"/>
          <w:highlight w:val="none"/>
          <w:lang w:val="en-US" w:eastAsia="zh-CN"/>
        </w:rPr>
        <w:t>13、</w:t>
      </w:r>
      <w:r>
        <w:rPr>
          <w:rFonts w:hint="eastAsia" w:ascii="宋体" w:hAnsi="宋体" w:eastAsia="宋体" w:cs="宋体"/>
          <w:i w:val="0"/>
          <w:iCs w:val="0"/>
          <w:caps w:val="0"/>
          <w:spacing w:val="0"/>
          <w:sz w:val="32"/>
          <w:szCs w:val="32"/>
          <w:shd w:val="clear" w:fill="FFFFFF"/>
        </w:rPr>
        <w:t>具备特种设备安全监督管理部门核发的许可证；按照行业要求拟派人员需要持有的资质证书</w:t>
      </w:r>
      <w:r>
        <w:rPr>
          <w:rFonts w:hint="eastAsia" w:ascii="宋体" w:hAnsi="宋体" w:eastAsia="宋体" w:cs="宋体"/>
          <w:i w:val="0"/>
          <w:iCs w:val="0"/>
          <w:caps w:val="0"/>
          <w:spacing w:val="0"/>
          <w:sz w:val="32"/>
          <w:szCs w:val="32"/>
          <w:shd w:val="clear" w:fill="FFFFFF"/>
          <w:lang w:val="en-US" w:eastAsia="zh-CN"/>
        </w:rPr>
        <w:t>、</w:t>
      </w:r>
      <w:r>
        <w:rPr>
          <w:rFonts w:hint="eastAsia" w:ascii="宋体" w:hAnsi="宋体" w:eastAsia="宋体" w:cs="宋体"/>
          <w:i w:val="0"/>
          <w:iCs w:val="0"/>
          <w:caps w:val="0"/>
          <w:spacing w:val="0"/>
          <w:sz w:val="32"/>
          <w:szCs w:val="32"/>
          <w:shd w:val="clear" w:fill="FFFFFF"/>
        </w:rPr>
        <w:t>信誉承诺表。</w:t>
      </w:r>
      <w:bookmarkStart w:id="63" w:name="_GoBack"/>
      <w:bookmarkEnd w:id="63"/>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FBDA6"/>
    <w:multiLevelType w:val="singleLevel"/>
    <w:tmpl w:val="8DBFBDA6"/>
    <w:lvl w:ilvl="0" w:tentative="0">
      <w:start w:val="1"/>
      <w:numFmt w:val="decimal"/>
      <w:suff w:val="nothing"/>
      <w:lvlText w:val="（%1）"/>
      <w:lvlJc w:val="left"/>
    </w:lvl>
  </w:abstractNum>
  <w:abstractNum w:abstractNumId="1">
    <w:nsid w:val="95ECA0D4"/>
    <w:multiLevelType w:val="singleLevel"/>
    <w:tmpl w:val="95ECA0D4"/>
    <w:lvl w:ilvl="0" w:tentative="0">
      <w:start w:val="1"/>
      <w:numFmt w:val="chineseCounting"/>
      <w:suff w:val="nothing"/>
      <w:lvlText w:val="%1、"/>
      <w:lvlJc w:val="left"/>
      <w:rPr>
        <w:rFonts w:hint="eastAsia"/>
      </w:rPr>
    </w:lvl>
  </w:abstractNum>
  <w:abstractNum w:abstractNumId="2">
    <w:nsid w:val="F6AA51FA"/>
    <w:multiLevelType w:val="singleLevel"/>
    <w:tmpl w:val="F6AA51FA"/>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9A00A4"/>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B13A50"/>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2FE5400"/>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1407BA"/>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0A1355C"/>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6949D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3F07B61"/>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B21103"/>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autoRedefine/>
    <w:semiHidden/>
    <w:unhideWhenUsed/>
    <w:qFormat/>
    <w:uiPriority w:val="0"/>
    <w:pPr>
      <w:jc w:val="left"/>
      <w:outlineLvl w:val="2"/>
    </w:pPr>
    <w:rPr>
      <w:rFonts w:hint="eastAsia" w:ascii="宋体" w:hAnsi="宋体"/>
      <w:b/>
      <w:kern w:val="0"/>
      <w:sz w:val="2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Arial" w:hAnsi="Arial" w:eastAsia="楷体_GB2312"/>
      <w:b/>
      <w:lang w:eastAsia="en-US"/>
    </w:rPr>
  </w:style>
  <w:style w:type="paragraph" w:styleId="3">
    <w:name w:val="toc 2"/>
    <w:basedOn w:val="1"/>
    <w:next w:val="1"/>
    <w:autoRedefine/>
    <w:qFormat/>
    <w:uiPriority w:val="0"/>
    <w:pPr>
      <w:ind w:left="210"/>
      <w:jc w:val="left"/>
    </w:pPr>
    <w:rPr>
      <w:smallCaps/>
      <w:szCs w:val="20"/>
    </w:rPr>
  </w:style>
  <w:style w:type="paragraph" w:styleId="7">
    <w:name w:val="Body Text Indent"/>
    <w:basedOn w:val="1"/>
    <w:autoRedefine/>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cs="Verdana"/>
      <w:b/>
      <w:szCs w:val="20"/>
    </w:rPr>
  </w:style>
  <w:style w:type="paragraph" w:styleId="10">
    <w:name w:val="Body Text Indent 2"/>
    <w:basedOn w:val="1"/>
    <w:autoRedefine/>
    <w:unhideWhenUsed/>
    <w:qFormat/>
    <w:uiPriority w:val="99"/>
    <w:pPr>
      <w:spacing w:line="480" w:lineRule="auto"/>
      <w:ind w:left="420" w:left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dot" w:pos="9514"/>
      </w:tabs>
      <w:spacing w:line="360" w:lineRule="auto"/>
      <w:ind w:left="-360" w:leftChars="-257" w:hanging="180" w:hangingChars="50"/>
    </w:pPr>
  </w:style>
  <w:style w:type="paragraph" w:styleId="14">
    <w:name w:val="Normal (Web)"/>
    <w:basedOn w:val="1"/>
    <w:autoRedefine/>
    <w:qFormat/>
    <w:uiPriority w:val="0"/>
    <w:rPr>
      <w:sz w:val="24"/>
    </w:rPr>
  </w:style>
  <w:style w:type="paragraph" w:styleId="15">
    <w:name w:val="Title"/>
    <w:basedOn w:val="1"/>
    <w:next w:val="1"/>
    <w:autoRedefine/>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paragraph" w:styleId="16">
    <w:name w:val="Body Text First Indent 2"/>
    <w:basedOn w:val="7"/>
    <w:autoRedefine/>
    <w:unhideWhenUsed/>
    <w:qFormat/>
    <w:uiPriority w:val="0"/>
    <w:pPr>
      <w:autoSpaceDE/>
      <w:autoSpaceDN/>
      <w:ind w:firstLine="420" w:firstLineChars="200"/>
      <w:jc w:val="both"/>
    </w:pPr>
    <w:rPr>
      <w:rFonts w:cs="Times New Roman"/>
      <w:kern w:val="2"/>
      <w:sz w:val="24"/>
      <w:szCs w:val="24"/>
      <w:lang w:val="en-US" w:bidi="ar-SA"/>
    </w:rPr>
  </w:style>
  <w:style w:type="table" w:styleId="18">
    <w:name w:val="Table Grid"/>
    <w:basedOn w:val="1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autoRedefine/>
    <w:qFormat/>
    <w:uiPriority w:val="0"/>
    <w:rPr>
      <w:b/>
      <w:sz w:val="24"/>
      <w:szCs w:val="24"/>
    </w:rPr>
  </w:style>
  <w:style w:type="character" w:styleId="21">
    <w:name w:val="page number"/>
    <w:basedOn w:val="19"/>
    <w:autoRedefine/>
    <w:qFormat/>
    <w:uiPriority w:val="0"/>
  </w:style>
  <w:style w:type="character" w:styleId="22">
    <w:name w:val="FollowedHyperlink"/>
    <w:basedOn w:val="19"/>
    <w:autoRedefine/>
    <w:qFormat/>
    <w:uiPriority w:val="0"/>
    <w:rPr>
      <w:color w:val="800080"/>
      <w:u w:val="none"/>
    </w:rPr>
  </w:style>
  <w:style w:type="character" w:styleId="23">
    <w:name w:val="Emphasis"/>
    <w:basedOn w:val="19"/>
    <w:autoRedefine/>
    <w:qFormat/>
    <w:uiPriority w:val="0"/>
    <w:rPr>
      <w:b/>
      <w:bdr w:val="single" w:color="D6D6D6" w:sz="6" w:space="0"/>
      <w:shd w:val="clear" w:color="auto" w:fill="F9F9F9"/>
    </w:rPr>
  </w:style>
  <w:style w:type="character" w:styleId="24">
    <w:name w:val="HTML Definition"/>
    <w:basedOn w:val="19"/>
    <w:autoRedefine/>
    <w:qFormat/>
    <w:uiPriority w:val="0"/>
    <w:rPr>
      <w:color w:val="FFFFFF"/>
      <w:shd w:val="clear" w:color="auto" w:fill="048FD2"/>
    </w:rPr>
  </w:style>
  <w:style w:type="character" w:styleId="25">
    <w:name w:val="HTML Typewriter"/>
    <w:basedOn w:val="19"/>
    <w:autoRedefine/>
    <w:qFormat/>
    <w:uiPriority w:val="0"/>
    <w:rPr>
      <w:rFonts w:hint="default" w:ascii="monospace" w:hAnsi="monospace" w:eastAsia="monospace" w:cs="monospace"/>
      <w:sz w:val="20"/>
    </w:rPr>
  </w:style>
  <w:style w:type="character" w:styleId="26">
    <w:name w:val="HTML Acronym"/>
    <w:basedOn w:val="19"/>
    <w:autoRedefine/>
    <w:qFormat/>
    <w:uiPriority w:val="0"/>
  </w:style>
  <w:style w:type="character" w:styleId="27">
    <w:name w:val="HTML Variable"/>
    <w:basedOn w:val="19"/>
    <w:autoRedefine/>
    <w:qFormat/>
    <w:uiPriority w:val="0"/>
  </w:style>
  <w:style w:type="character" w:styleId="28">
    <w:name w:val="Hyperlink"/>
    <w:basedOn w:val="19"/>
    <w:autoRedefine/>
    <w:qFormat/>
    <w:uiPriority w:val="0"/>
    <w:rPr>
      <w:color w:val="0000FF"/>
      <w:u w:val="none"/>
    </w:rPr>
  </w:style>
  <w:style w:type="character" w:styleId="29">
    <w:name w:val="HTML Code"/>
    <w:basedOn w:val="19"/>
    <w:autoRedefine/>
    <w:qFormat/>
    <w:uiPriority w:val="0"/>
    <w:rPr>
      <w:rFonts w:hint="default" w:ascii="monospace" w:hAnsi="monospace" w:eastAsia="monospace" w:cs="monospace"/>
      <w:sz w:val="20"/>
    </w:rPr>
  </w:style>
  <w:style w:type="character" w:styleId="30">
    <w:name w:val="HTML Cite"/>
    <w:basedOn w:val="19"/>
    <w:autoRedefine/>
    <w:qFormat/>
    <w:uiPriority w:val="0"/>
  </w:style>
  <w:style w:type="character" w:styleId="31">
    <w:name w:val="HTML Keyboard"/>
    <w:basedOn w:val="19"/>
    <w:autoRedefine/>
    <w:qFormat/>
    <w:uiPriority w:val="0"/>
    <w:rPr>
      <w:rFonts w:hint="default" w:ascii="monospace" w:hAnsi="monospace" w:eastAsia="monospace" w:cs="monospace"/>
      <w:sz w:val="20"/>
    </w:rPr>
  </w:style>
  <w:style w:type="character" w:styleId="32">
    <w:name w:val="HTML Sample"/>
    <w:basedOn w:val="19"/>
    <w:autoRedefine/>
    <w:qFormat/>
    <w:uiPriority w:val="0"/>
    <w:rPr>
      <w:rFonts w:ascii="monospace" w:hAnsi="monospace" w:eastAsia="monospace" w:cs="monospace"/>
    </w:rPr>
  </w:style>
  <w:style w:type="paragraph" w:customStyle="1" w:styleId="3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4">
    <w:name w:val="font31"/>
    <w:basedOn w:val="19"/>
    <w:autoRedefine/>
    <w:qFormat/>
    <w:uiPriority w:val="0"/>
    <w:rPr>
      <w:rFonts w:hint="eastAsia" w:ascii="宋体" w:hAnsi="宋体" w:eastAsia="宋体" w:cs="宋体"/>
      <w:color w:val="000000"/>
      <w:sz w:val="20"/>
      <w:szCs w:val="20"/>
      <w:u w:val="none"/>
    </w:rPr>
  </w:style>
  <w:style w:type="character" w:customStyle="1" w:styleId="35">
    <w:name w:val="font01"/>
    <w:basedOn w:val="19"/>
    <w:autoRedefine/>
    <w:qFormat/>
    <w:uiPriority w:val="0"/>
    <w:rPr>
      <w:rFonts w:hint="eastAsia" w:ascii="宋体" w:hAnsi="宋体" w:eastAsia="宋体" w:cs="宋体"/>
      <w:color w:val="000000"/>
      <w:sz w:val="20"/>
      <w:szCs w:val="20"/>
      <w:u w:val="none"/>
      <w:vertAlign w:val="superscript"/>
    </w:rPr>
  </w:style>
  <w:style w:type="paragraph" w:customStyle="1" w:styleId="36">
    <w:name w:val="监标题3"/>
    <w:basedOn w:val="1"/>
    <w:autoRedefine/>
    <w:qFormat/>
    <w:uiPriority w:val="0"/>
    <w:pPr>
      <w:spacing w:line="560" w:lineRule="exact"/>
      <w:jc w:val="center"/>
    </w:pPr>
    <w:rPr>
      <w:rFonts w:ascii="宋体" w:hAnsi="宋体"/>
      <w:b/>
      <w:color w:val="000000"/>
      <w:sz w:val="28"/>
      <w:szCs w:val="20"/>
    </w:rPr>
  </w:style>
  <w:style w:type="character" w:customStyle="1" w:styleId="37">
    <w:name w:val="font11"/>
    <w:basedOn w:val="19"/>
    <w:autoRedefine/>
    <w:qFormat/>
    <w:uiPriority w:val="0"/>
    <w:rPr>
      <w:rFonts w:hint="eastAsia" w:ascii="宋体" w:hAnsi="宋体" w:eastAsia="宋体" w:cs="宋体"/>
      <w:color w:val="000000"/>
      <w:sz w:val="22"/>
      <w:szCs w:val="22"/>
      <w:u w:val="none"/>
    </w:rPr>
  </w:style>
  <w:style w:type="paragraph" w:customStyle="1" w:styleId="38">
    <w:name w:val="列出段落1"/>
    <w:basedOn w:val="1"/>
    <w:autoRedefine/>
    <w:qFormat/>
    <w:uiPriority w:val="34"/>
    <w:pPr>
      <w:ind w:firstLine="420" w:firstLineChars="200"/>
    </w:pPr>
  </w:style>
  <w:style w:type="character" w:customStyle="1" w:styleId="39">
    <w:name w:val="font21"/>
    <w:basedOn w:val="19"/>
    <w:autoRedefine/>
    <w:qFormat/>
    <w:uiPriority w:val="0"/>
    <w:rPr>
      <w:rFonts w:hint="eastAsia" w:ascii="宋体" w:hAnsi="宋体" w:eastAsia="宋体" w:cs="宋体"/>
      <w:color w:val="000000"/>
      <w:sz w:val="20"/>
      <w:szCs w:val="20"/>
      <w:u w:val="none"/>
      <w:vertAlign w:val="superscript"/>
    </w:rPr>
  </w:style>
  <w:style w:type="character" w:customStyle="1" w:styleId="40">
    <w:name w:val="font111"/>
    <w:basedOn w:val="19"/>
    <w:autoRedefine/>
    <w:qFormat/>
    <w:uiPriority w:val="0"/>
    <w:rPr>
      <w:rFonts w:hint="eastAsia" w:ascii="宋体" w:hAnsi="宋体" w:eastAsia="宋体" w:cs="宋体"/>
      <w:color w:val="000000"/>
      <w:sz w:val="20"/>
      <w:szCs w:val="20"/>
      <w:u w:val="none"/>
      <w:vertAlign w:val="superscript"/>
    </w:rPr>
  </w:style>
  <w:style w:type="paragraph" w:styleId="41">
    <w:name w:val="List Paragraph"/>
    <w:basedOn w:val="1"/>
    <w:autoRedefine/>
    <w:qFormat/>
    <w:uiPriority w:val="34"/>
    <w:pPr>
      <w:ind w:firstLine="420"/>
    </w:pPr>
  </w:style>
  <w:style w:type="character" w:customStyle="1" w:styleId="42">
    <w:name w:val="NormalCharacter"/>
    <w:autoRedefine/>
    <w:qFormat/>
    <w:uiPriority w:val="0"/>
    <w:rPr>
      <w:sz w:val="20"/>
    </w:rPr>
  </w:style>
  <w:style w:type="table" w:customStyle="1" w:styleId="43">
    <w:name w:val="网格型1"/>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Other|1"/>
    <w:basedOn w:val="1"/>
    <w:autoRedefine/>
    <w:qFormat/>
    <w:uiPriority w:val="0"/>
    <w:pPr>
      <w:spacing w:line="448" w:lineRule="auto"/>
      <w:ind w:firstLine="400" w:firstLineChars="0"/>
    </w:pPr>
    <w:rPr>
      <w:rFonts w:ascii="宋体" w:hAnsi="宋体" w:eastAsia="宋体" w:cs="宋体"/>
      <w:sz w:val="28"/>
      <w:szCs w:val="28"/>
      <w:lang w:val="zh-TW" w:eastAsia="zh-TW" w:bidi="zh-TW"/>
    </w:rPr>
  </w:style>
  <w:style w:type="paragraph" w:customStyle="1" w:styleId="45">
    <w:name w:val="正文（缩进）"/>
    <w:basedOn w:val="1"/>
    <w:qFormat/>
    <w:uiPriority w:val="0"/>
    <w:pPr>
      <w:spacing w:beforeLines="50" w:afterLines="50"/>
      <w:ind w:firstLine="48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35</Pages>
  <Words>9969</Words>
  <Characters>10687</Characters>
  <Lines>111</Lines>
  <Paragraphs>31</Paragraphs>
  <TotalTime>0</TotalTime>
  <ScaleCrop>false</ScaleCrop>
  <LinksUpToDate>false</LinksUpToDate>
  <CharactersWithSpaces>13234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2024-04-12T03:18:01Z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9757BC6343A446379646FE5D8119DCC1</vt:lpwstr>
  </property>
</Properties>
</file>