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sz w:val="48"/>
          <w:szCs w:val="48"/>
          <w:highlight w:val="none"/>
        </w:rPr>
        <w:t>全自动医用电子血压计</w:t>
      </w:r>
      <w:r>
        <w:rPr>
          <w:rFonts w:hint="eastAsia" w:ascii="仿宋" w:hAnsi="仿宋" w:eastAsia="仿宋" w:cs="仿宋"/>
          <w:b/>
          <w:bCs/>
          <w:color w:val="auto"/>
          <w:sz w:val="48"/>
          <w:szCs w:val="48"/>
          <w:highlight w:val="none"/>
          <w:lang w:val="en-US" w:eastAsia="zh-CN"/>
        </w:rPr>
        <w:t>项目</w:t>
      </w:r>
    </w:p>
    <w:p>
      <w:pPr>
        <w:pStyle w:val="10"/>
        <w:rPr>
          <w:rFonts w:hint="eastAsia" w:ascii="仿宋" w:hAnsi="仿宋" w:eastAsia="仿宋" w:cs="仿宋"/>
          <w:color w:val="auto"/>
          <w:highlight w:val="none"/>
        </w:rPr>
      </w:pPr>
      <w:bookmarkStart w:id="65" w:name="_GoBack"/>
      <w:bookmarkEnd w:id="65"/>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四</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2"/>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5"/>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2"/>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3"/>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赣州市肿瘤医院对</w:t>
      </w:r>
      <w:r>
        <w:rPr>
          <w:rFonts w:hint="eastAsia" w:ascii="仿宋" w:hAnsi="仿宋" w:eastAsia="仿宋" w:cs="仿宋"/>
          <w:sz w:val="28"/>
          <w:szCs w:val="28"/>
          <w:highlight w:val="none"/>
        </w:rPr>
        <w:t>全自动医用电子血压计</w:t>
      </w:r>
      <w:r>
        <w:rPr>
          <w:rFonts w:hint="eastAsia" w:ascii="仿宋" w:hAnsi="仿宋" w:eastAsia="仿宋" w:cs="仿宋"/>
          <w:i w:val="0"/>
          <w:iCs w:val="0"/>
          <w:caps w:val="0"/>
          <w:color w:val="auto"/>
          <w:spacing w:val="0"/>
          <w:kern w:val="0"/>
          <w:sz w:val="28"/>
          <w:szCs w:val="28"/>
          <w:lang w:val="en-US" w:eastAsia="zh-CN" w:bidi="ar"/>
        </w:rPr>
        <w:t>项目进行竞争性谈判，现欢迎符合资格条件的供应商前来参加。</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一、项目编号：</w:t>
      </w:r>
      <w:r>
        <w:rPr>
          <w:rFonts w:hint="eastAsia" w:ascii="仿宋" w:hAnsi="仿宋" w:eastAsia="仿宋" w:cs="仿宋"/>
          <w:i w:val="0"/>
          <w:iCs w:val="0"/>
          <w:caps w:val="0"/>
          <w:color w:val="auto"/>
          <w:spacing w:val="0"/>
          <w:kern w:val="0"/>
          <w:sz w:val="28"/>
          <w:szCs w:val="28"/>
          <w:lang w:val="en-US" w:eastAsia="zh-CN" w:bidi="ar"/>
        </w:rPr>
        <w:t>SB2024-0401</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二、</w:t>
      </w:r>
      <w:r>
        <w:rPr>
          <w:rStyle w:val="21"/>
          <w:rFonts w:hint="eastAsia" w:ascii="仿宋" w:hAnsi="仿宋" w:eastAsia="仿宋" w:cs="仿宋"/>
          <w:b/>
          <w:bCs/>
          <w:i w:val="0"/>
          <w:iCs w:val="0"/>
          <w:caps w:val="0"/>
          <w:color w:val="auto"/>
          <w:spacing w:val="0"/>
          <w:kern w:val="0"/>
          <w:sz w:val="28"/>
          <w:szCs w:val="28"/>
          <w:lang w:val="en-US" w:eastAsia="zh-CN" w:bidi="ar"/>
        </w:rPr>
        <w:t>采购方式：</w:t>
      </w:r>
      <w:r>
        <w:rPr>
          <w:rFonts w:hint="eastAsia" w:ascii="仿宋" w:hAnsi="仿宋" w:eastAsia="仿宋" w:cs="仿宋"/>
          <w:i w:val="0"/>
          <w:iCs w:val="0"/>
          <w:caps w:val="0"/>
          <w:color w:val="auto"/>
          <w:spacing w:val="0"/>
          <w:kern w:val="0"/>
          <w:sz w:val="28"/>
          <w:szCs w:val="28"/>
          <w:lang w:val="en-US" w:eastAsia="zh-CN" w:bidi="ar"/>
        </w:rPr>
        <w:t>竞争性谈判</w:t>
      </w:r>
    </w:p>
    <w:p>
      <w:pPr>
        <w:keepNext w:val="0"/>
        <w:keepLines w:val="0"/>
        <w:widowControl/>
        <w:suppressLineNumbers w:val="0"/>
        <w:jc w:val="left"/>
        <w:rPr>
          <w:rFonts w:hint="eastAsia" w:ascii="仿宋" w:hAnsi="仿宋" w:eastAsia="仿宋" w:cs="仿宋"/>
          <w:color w:val="auto"/>
          <w:sz w:val="28"/>
          <w:szCs w:val="28"/>
        </w:rPr>
      </w:pPr>
      <w:r>
        <w:rPr>
          <w:rStyle w:val="21"/>
          <w:rFonts w:hint="eastAsia" w:ascii="仿宋" w:hAnsi="仿宋" w:eastAsia="仿宋" w:cs="仿宋"/>
          <w:b/>
          <w:bCs/>
          <w:i w:val="0"/>
          <w:iCs w:val="0"/>
          <w:caps w:val="0"/>
          <w:color w:val="auto"/>
          <w:spacing w:val="0"/>
          <w:kern w:val="0"/>
          <w:sz w:val="28"/>
          <w:szCs w:val="28"/>
          <w:lang w:val="en-US" w:eastAsia="zh-CN" w:bidi="ar"/>
        </w:rPr>
        <w:t>三、采购内容：</w:t>
      </w:r>
    </w:p>
    <w:tbl>
      <w:tblPr>
        <w:tblStyle w:val="18"/>
        <w:tblW w:w="830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863"/>
        <w:gridCol w:w="2079"/>
        <w:gridCol w:w="1340"/>
        <w:gridCol w:w="1340"/>
        <w:gridCol w:w="1340"/>
        <w:gridCol w:w="1340"/>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序号</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货物名称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数量</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单位</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预算（元）</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品目一</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sz w:val="28"/>
                <w:szCs w:val="28"/>
                <w:highlight w:val="none"/>
              </w:rPr>
              <w:t>全自动医用电子血压计</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2</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40000</w:t>
            </w:r>
          </w:p>
        </w:tc>
        <w:tc>
          <w:tcPr>
            <w:tcW w:w="1340" w:type="dxa"/>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详见竞争性谈判文件</w:t>
            </w:r>
          </w:p>
        </w:tc>
      </w:tr>
    </w:tbl>
    <w:p>
      <w:pPr>
        <w:keepNext w:val="0"/>
        <w:keepLines w:val="0"/>
        <w:widowControl/>
        <w:numPr>
          <w:ilvl w:val="0"/>
          <w:numId w:val="2"/>
        </w:numPr>
        <w:suppressLineNumbers w:val="0"/>
        <w:ind w:left="240" w:hanging="281" w:hangingChars="10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谈判方式：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keepNext w:val="0"/>
        <w:keepLines w:val="0"/>
        <w:widowControl/>
        <w:numPr>
          <w:ilvl w:val="0"/>
          <w:numId w:val="0"/>
        </w:numPr>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五、响应供应商的资格要求：</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1、具有独立承担民事责任的能力；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2、具有履行合同所必需的设备和专业技术能力；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3、有依法缴纳税收和社会保障资金的良好记录；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4、参加采购活动前三年内，在经营活动中没有重大违法记录。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5、其他资格条件：</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5.1所投一、二、三类医疗器械产品用于临床的：二、三类医疗器械产品的须具有医疗器械注册证及登记表（新证不需登记表），一类医疗器械产品的须具有产品备案登记凭证；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5.2所投在中华人民共和国境内生产的一、二、三类医疗器械产品用于临床的：二、三类医疗器械产品须具有医疗器械生产许可证,一类医疗器械产品的须具有医疗器械生产备案凭证；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0"/>
        </w:numPr>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Fonts w:hint="eastAsia" w:ascii="仿宋" w:hAnsi="仿宋" w:eastAsia="仿宋" w:cs="仿宋"/>
          <w:b/>
          <w:bCs/>
          <w:i w:val="0"/>
          <w:iCs w:val="0"/>
          <w:caps w:val="0"/>
          <w:color w:val="auto"/>
          <w:spacing w:val="0"/>
          <w:kern w:val="0"/>
          <w:sz w:val="28"/>
          <w:szCs w:val="28"/>
          <w:lang w:val="en-US" w:eastAsia="zh-CN" w:bidi="ar"/>
        </w:rPr>
        <w:t>六、</w:t>
      </w:r>
      <w:r>
        <w:rPr>
          <w:rStyle w:val="21"/>
          <w:rFonts w:hint="eastAsia" w:ascii="仿宋" w:hAnsi="仿宋" w:eastAsia="仿宋" w:cs="仿宋"/>
          <w:b/>
          <w:bCs/>
          <w:i w:val="0"/>
          <w:iCs w:val="0"/>
          <w:caps w:val="0"/>
          <w:color w:val="auto"/>
          <w:spacing w:val="0"/>
          <w:kern w:val="0"/>
          <w:sz w:val="28"/>
          <w:szCs w:val="28"/>
          <w:lang w:val="en-US" w:eastAsia="zh-CN" w:bidi="ar"/>
        </w:rPr>
        <w:t>报名时间、报名方式：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本次竞争性谈判活动采用邮箱报名，不需要到现场报名，供应商须将报名表、营业执照扫描件于2024年4月5日下午17:00之前发送到到电子邮箱gzszlyycgb@126.com。如有疑问，请拨打电话0797-8105097 晏女士，0797-8287110 曾先生。</w:t>
      </w:r>
    </w:p>
    <w:p>
      <w:pPr>
        <w:keepNext w:val="0"/>
        <w:keepLines w:val="0"/>
        <w:widowControl/>
        <w:numPr>
          <w:ilvl w:val="0"/>
          <w:numId w:val="0"/>
        </w:numPr>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七、响应截止时间和谈判时间：</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现场响应截止时间：2024年4月7日（星期日）上午9：00。</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现场谈判地点：老门诊楼四楼402会议室。</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w:t>
      </w:r>
    </w:p>
    <w:p>
      <w:pPr>
        <w:keepNext w:val="0"/>
        <w:keepLines w:val="0"/>
        <w:widowControl/>
        <w:numPr>
          <w:ilvl w:val="0"/>
          <w:numId w:val="3"/>
        </w:numPr>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履约保证金及退回方式：</w:t>
      </w:r>
    </w:p>
    <w:p>
      <w:pPr>
        <w:ind w:firstLine="560" w:firstLineChars="200"/>
        <w:rPr>
          <w:rStyle w:val="21"/>
          <w:rFonts w:hint="eastAsia" w:ascii="仿宋" w:hAnsi="仿宋" w:eastAsia="仿宋" w:cs="仿宋"/>
          <w:b/>
          <w:bCs/>
          <w:i w:val="0"/>
          <w:iCs w:val="0"/>
          <w:caps w:val="0"/>
          <w:color w:val="auto"/>
          <w:spacing w:val="0"/>
          <w:kern w:val="0"/>
          <w:sz w:val="28"/>
          <w:szCs w:val="28"/>
          <w:highlight w:val="none"/>
          <w:lang w:val="en-US" w:eastAsia="zh-CN" w:bidi="ar"/>
        </w:rPr>
      </w:pPr>
      <w:r>
        <w:rPr>
          <w:rFonts w:hint="eastAsia" w:ascii="仿宋" w:hAnsi="仿宋" w:eastAsia="仿宋" w:cs="仿宋"/>
          <w:sz w:val="28"/>
          <w:szCs w:val="28"/>
          <w:highlight w:val="none"/>
        </w:rPr>
        <w:t>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keepNext w:val="0"/>
        <w:keepLines w:val="0"/>
        <w:widowControl/>
        <w:suppressLineNumbers w:val="0"/>
        <w:jc w:val="left"/>
        <w:rPr>
          <w:rStyle w:val="21"/>
          <w:rFonts w:hint="eastAsia" w:ascii="仿宋" w:hAnsi="仿宋" w:eastAsia="仿宋" w:cs="仿宋"/>
          <w:b/>
          <w:bCs/>
          <w:i w:val="0"/>
          <w:iCs w:val="0"/>
          <w:caps w:val="0"/>
          <w:color w:val="auto"/>
          <w:spacing w:val="0"/>
          <w:kern w:val="0"/>
          <w:sz w:val="28"/>
          <w:szCs w:val="28"/>
          <w:highlight w:val="none"/>
          <w:lang w:val="en-US" w:eastAsia="zh-CN" w:bidi="ar"/>
        </w:rPr>
      </w:pPr>
      <w:r>
        <w:rPr>
          <w:rStyle w:val="21"/>
          <w:rFonts w:hint="eastAsia" w:ascii="仿宋" w:hAnsi="仿宋" w:eastAsia="仿宋" w:cs="仿宋"/>
          <w:b/>
          <w:bCs/>
          <w:i w:val="0"/>
          <w:iCs w:val="0"/>
          <w:caps w:val="0"/>
          <w:color w:val="auto"/>
          <w:spacing w:val="0"/>
          <w:kern w:val="0"/>
          <w:sz w:val="28"/>
          <w:szCs w:val="28"/>
          <w:highlight w:val="none"/>
          <w:lang w:val="en-US" w:eastAsia="zh-CN" w:bidi="ar"/>
        </w:rPr>
        <w:t>九、付款方式：</w:t>
      </w:r>
    </w:p>
    <w:p>
      <w:pPr>
        <w:pStyle w:val="41"/>
        <w:ind w:left="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合同签订、货物送达、安装调试完成且验收合格,收到符合国家法律规定的税票后30天内支付合同总额的100%。</w:t>
      </w:r>
    </w:p>
    <w:p>
      <w:pPr>
        <w:keepNext w:val="0"/>
        <w:keepLines w:val="0"/>
        <w:widowControl/>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十、联系方式：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采购人：赣州市肿瘤医院</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地址：赣州市水东镇花园前19号</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电话：0797-8105097</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联系人：游先生</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u w:val="none"/>
          <w:lang w:val="en-US" w:eastAsia="zh-CN" w:bidi="ar"/>
        </w:rPr>
      </w:pPr>
      <w:r>
        <w:rPr>
          <w:rFonts w:hint="eastAsia" w:ascii="仿宋" w:hAnsi="仿宋" w:eastAsia="仿宋" w:cs="仿宋"/>
          <w:i w:val="0"/>
          <w:iCs w:val="0"/>
          <w:caps w:val="0"/>
          <w:color w:val="auto"/>
          <w:spacing w:val="0"/>
          <w:kern w:val="0"/>
          <w:sz w:val="28"/>
          <w:szCs w:val="28"/>
          <w:lang w:val="en-US" w:eastAsia="zh-CN" w:bidi="ar"/>
        </w:rPr>
        <w:t>网址：</w:t>
      </w:r>
      <w:r>
        <w:rPr>
          <w:rFonts w:hint="eastAsia" w:ascii="仿宋" w:hAnsi="仿宋" w:eastAsia="仿宋" w:cs="仿宋"/>
          <w:i w:val="0"/>
          <w:iCs w:val="0"/>
          <w:caps w:val="0"/>
          <w:color w:val="auto"/>
          <w:spacing w:val="0"/>
          <w:kern w:val="0"/>
          <w:sz w:val="28"/>
          <w:szCs w:val="28"/>
          <w:u w:val="none"/>
          <w:lang w:val="en-US" w:eastAsia="zh-CN" w:bidi="ar"/>
        </w:rPr>
        <w:fldChar w:fldCharType="begin"/>
      </w:r>
      <w:r>
        <w:rPr>
          <w:rFonts w:hint="eastAsia" w:ascii="仿宋" w:hAnsi="仿宋" w:eastAsia="仿宋" w:cs="仿宋"/>
          <w:i w:val="0"/>
          <w:iCs w:val="0"/>
          <w:caps w:val="0"/>
          <w:color w:val="auto"/>
          <w:spacing w:val="0"/>
          <w:kern w:val="0"/>
          <w:sz w:val="28"/>
          <w:szCs w:val="28"/>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u w:val="none"/>
          <w:lang w:val="en-US" w:eastAsia="zh-CN" w:bidi="ar"/>
        </w:rPr>
        <w:fldChar w:fldCharType="separate"/>
      </w:r>
      <w:r>
        <w:rPr>
          <w:rStyle w:val="29"/>
          <w:rFonts w:hint="eastAsia" w:ascii="仿宋" w:hAnsi="仿宋" w:eastAsia="仿宋" w:cs="仿宋"/>
          <w:i w:val="0"/>
          <w:iCs w:val="0"/>
          <w:caps w:val="0"/>
          <w:color w:val="auto"/>
          <w:spacing w:val="0"/>
          <w:sz w:val="28"/>
          <w:szCs w:val="28"/>
          <w:u w:val="single"/>
        </w:rPr>
        <w:t>http://www.gzzlyy.com/</w:t>
      </w:r>
      <w:r>
        <w:rPr>
          <w:rFonts w:hint="eastAsia" w:ascii="仿宋" w:hAnsi="仿宋" w:eastAsia="仿宋" w:cs="仿宋"/>
          <w:i w:val="0"/>
          <w:iCs w:val="0"/>
          <w:caps w:val="0"/>
          <w:color w:val="auto"/>
          <w:spacing w:val="0"/>
          <w:kern w:val="0"/>
          <w:sz w:val="28"/>
          <w:szCs w:val="28"/>
          <w:u w:val="none"/>
          <w:lang w:val="en-US" w:eastAsia="zh-CN" w:bidi="ar"/>
        </w:rPr>
        <w:fldChar w:fldCharType="end"/>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附件1：赣州市肿瘤医院采购会报名表</w:t>
      </w:r>
    </w:p>
    <w:p>
      <w:pPr>
        <w:keepNext w:val="0"/>
        <w:keepLines w:val="0"/>
        <w:widowControl/>
        <w:suppressLineNumbers w:val="0"/>
        <w:jc w:val="left"/>
        <w:rPr>
          <w:rFonts w:hint="eastAsia" w:ascii="仿宋" w:hAnsi="仿宋" w:eastAsia="仿宋" w:cs="仿宋"/>
          <w:color w:val="auto"/>
          <w:sz w:val="28"/>
          <w:szCs w:val="28"/>
          <w:lang w:val="en-US"/>
        </w:rPr>
      </w:pPr>
      <w:r>
        <w:rPr>
          <w:rFonts w:hint="eastAsia" w:ascii="仿宋" w:hAnsi="仿宋" w:eastAsia="仿宋" w:cs="仿宋"/>
          <w:i w:val="0"/>
          <w:iCs w:val="0"/>
          <w:caps w:val="0"/>
          <w:color w:val="auto"/>
          <w:spacing w:val="0"/>
          <w:kern w:val="0"/>
          <w:sz w:val="28"/>
          <w:szCs w:val="28"/>
          <w:lang w:val="en-US" w:eastAsia="zh-CN" w:bidi="ar"/>
        </w:rPr>
        <w:t>附件2：竞争性谈判文件</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2024年4月1日</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color w:val="auto"/>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3"/>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361733089"/>
      <w:bookmarkStart w:id="6" w:name="_Toc29044"/>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3"/>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3"/>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3"/>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3"/>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3"/>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2"/>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3"/>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w:t>
      </w:r>
      <w:r>
        <w:rPr>
          <w:rFonts w:hint="eastAsia" w:ascii="仿宋" w:hAnsi="仿宋" w:eastAsia="仿宋" w:cs="仿宋"/>
          <w:color w:val="auto"/>
          <w:kern w:val="0"/>
          <w:sz w:val="27"/>
          <w:szCs w:val="27"/>
          <w:highlight w:val="none"/>
          <w:lang w:val="en-US" w:eastAsia="zh-CN"/>
        </w:rPr>
        <w:t>20</w:t>
      </w:r>
      <w:r>
        <w:rPr>
          <w:rFonts w:hint="eastAsia" w:ascii="仿宋" w:hAnsi="仿宋" w:eastAsia="仿宋" w:cs="仿宋"/>
          <w:color w:val="auto"/>
          <w:kern w:val="0"/>
          <w:sz w:val="27"/>
          <w:szCs w:val="27"/>
          <w:highlight w:val="none"/>
        </w:rPr>
        <w:t>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p>
      <w:pPr>
        <w:keepNext/>
        <w:keepLines/>
        <w:autoSpaceDE/>
        <w:autoSpaceDN/>
        <w:spacing w:before="260" w:after="260" w:line="416" w:lineRule="auto"/>
        <w:jc w:val="center"/>
        <w:outlineLvl w:val="2"/>
        <w:rPr>
          <w:rFonts w:hint="eastAsia" w:ascii="仿宋" w:hAnsi="仿宋" w:eastAsia="仿宋" w:cs="仿宋"/>
          <w:b/>
          <w:bCs/>
          <w:kern w:val="2"/>
          <w:sz w:val="28"/>
          <w:szCs w:val="28"/>
          <w:lang w:val="en-US" w:bidi="ar-SA"/>
        </w:rPr>
      </w:pPr>
      <w:r>
        <w:rPr>
          <w:rFonts w:hint="eastAsia" w:ascii="仿宋" w:hAnsi="仿宋" w:eastAsia="仿宋" w:cs="仿宋"/>
          <w:b/>
          <w:bCs/>
          <w:kern w:val="2"/>
          <w:sz w:val="28"/>
          <w:szCs w:val="28"/>
          <w:lang w:val="en-US" w:bidi="ar-SA"/>
        </w:rPr>
        <w:t>赣州市肿瘤医院设备采购合同</w:t>
      </w:r>
    </w:p>
    <w:p>
      <w:pPr>
        <w:autoSpaceDE/>
        <w:autoSpaceDN/>
        <w:spacing w:after="120"/>
        <w:jc w:val="right"/>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合同编号（）</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甲方(采购单位)：赣州市肿瘤医院</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乙方(供货单位)：</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甲、乙双方根据  组织的项目编号为     的采购结果和采购文件的要求，并经双方协商一致依法按下述条款签订本合同。甲乙双方须遵守赣州市肿瘤医院廉洁购销合同，详细内容见附件一。</w:t>
      </w:r>
    </w:p>
    <w:p>
      <w:pPr>
        <w:autoSpaceDE/>
        <w:autoSpaceDN/>
        <w:ind w:firstLine="562" w:firstLineChars="200"/>
        <w:jc w:val="both"/>
        <w:rPr>
          <w:rFonts w:hint="eastAsia" w:ascii="仿宋" w:hAnsi="仿宋" w:eastAsia="仿宋" w:cs="仿宋"/>
          <w:b/>
          <w:bCs/>
          <w:kern w:val="2"/>
          <w:sz w:val="28"/>
          <w:szCs w:val="28"/>
          <w:lang w:val="en-US" w:bidi="ar-SA"/>
        </w:rPr>
      </w:pPr>
      <w:r>
        <w:rPr>
          <w:rFonts w:hint="eastAsia" w:ascii="仿宋" w:hAnsi="仿宋" w:eastAsia="仿宋" w:cs="仿宋"/>
          <w:b/>
          <w:bCs/>
          <w:kern w:val="2"/>
          <w:sz w:val="28"/>
          <w:szCs w:val="28"/>
          <w:lang w:val="en-US" w:bidi="ar-SA"/>
        </w:rPr>
        <w:t>一、以下文件若在本次采购</w:t>
      </w:r>
      <w:r>
        <w:rPr>
          <w:rFonts w:hint="eastAsia" w:ascii="仿宋" w:hAnsi="仿宋" w:eastAsia="仿宋" w:cs="仿宋"/>
          <w:b/>
          <w:bCs/>
          <w:kern w:val="2"/>
          <w:sz w:val="28"/>
          <w:szCs w:val="28"/>
          <w:shd w:val="clear" w:color="auto" w:fill="FFFFFF"/>
          <w:lang w:val="en-US" w:bidi="ar-SA"/>
        </w:rPr>
        <w:t>过程</w:t>
      </w:r>
      <w:r>
        <w:rPr>
          <w:rFonts w:hint="eastAsia" w:ascii="仿宋" w:hAnsi="仿宋" w:eastAsia="仿宋" w:cs="仿宋"/>
          <w:b/>
          <w:bCs/>
          <w:kern w:val="2"/>
          <w:sz w:val="28"/>
          <w:szCs w:val="28"/>
          <w:lang w:val="en-US" w:bidi="ar-SA"/>
        </w:rPr>
        <w:t>实际存在，则作为本合同的组成部分：</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 xml:space="preserve">   1、成交通知书；</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 xml:space="preserve">   2、采购文件（含采购过程补充通知、答疑回复、变更等）；</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 xml:space="preserve">   3、响应文件；</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注：若上述文件及本合同就某一事项意思表示不一致，则以产生时间晚的文件内容为准。</w:t>
      </w:r>
    </w:p>
    <w:p>
      <w:pPr>
        <w:autoSpaceDE/>
        <w:autoSpaceDN/>
        <w:ind w:firstLine="562" w:firstLineChars="200"/>
        <w:jc w:val="both"/>
        <w:rPr>
          <w:rFonts w:hint="eastAsia" w:ascii="仿宋" w:hAnsi="仿宋" w:eastAsia="仿宋" w:cs="仿宋"/>
          <w:b/>
          <w:bCs/>
          <w:kern w:val="2"/>
          <w:sz w:val="28"/>
          <w:szCs w:val="28"/>
          <w:lang w:val="en-US" w:bidi="ar-SA"/>
        </w:rPr>
      </w:pPr>
      <w:r>
        <w:rPr>
          <w:rFonts w:hint="eastAsia" w:ascii="仿宋" w:hAnsi="仿宋" w:eastAsia="仿宋" w:cs="仿宋"/>
          <w:b/>
          <w:bCs/>
          <w:kern w:val="2"/>
          <w:sz w:val="28"/>
          <w:szCs w:val="28"/>
          <w:lang w:val="en-US" w:bidi="ar-SA"/>
        </w:rPr>
        <w:t>二、设备名称、品牌型号及数量、单价：</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316"/>
        <w:gridCol w:w="716"/>
        <w:gridCol w:w="716"/>
        <w:gridCol w:w="1516"/>
        <w:gridCol w:w="1516"/>
        <w:gridCol w:w="1316"/>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序号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标的物名称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单位</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单价（元）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总价（元）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制造商名称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8"/>
                <w:szCs w:val="28"/>
                <w:lang w:val="en-US" w:bidi="ar-SA"/>
              </w:rPr>
            </w:pPr>
          </w:p>
        </w:tc>
      </w:tr>
    </w:tbl>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标的物的参数等详见采购文件中的采购项目需求（响应文件正偏离的条款以正偏离的为准）。</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color w:val="000000"/>
          <w:sz w:val="28"/>
          <w:szCs w:val="28"/>
          <w:lang w:val="en-US" w:bidi="ar-SA"/>
        </w:rPr>
        <w:t>合同金额：</w:t>
      </w:r>
      <w:r>
        <w:rPr>
          <w:rFonts w:hint="eastAsia" w:ascii="仿宋" w:hAnsi="仿宋" w:eastAsia="仿宋" w:cs="仿宋"/>
          <w:color w:val="000000"/>
          <w:kern w:val="2"/>
          <w:sz w:val="28"/>
          <w:szCs w:val="28"/>
          <w:u w:val="single"/>
          <w:lang w:val="en-US" w:bidi="ar-SA"/>
        </w:rPr>
        <w:t>（大写）</w:t>
      </w:r>
      <w:r>
        <w:rPr>
          <w:rFonts w:hint="eastAsia" w:ascii="仿宋" w:hAnsi="仿宋" w:eastAsia="仿宋" w:cs="仿宋"/>
          <w:b/>
          <w:bCs/>
          <w:sz w:val="28"/>
          <w:szCs w:val="28"/>
          <w:highlight w:val="yellow"/>
          <w:u w:val="single"/>
          <w:lang w:val="en-US" w:bidi="ar-SA"/>
        </w:rPr>
        <w:t>人民币</w:t>
      </w:r>
      <w:r>
        <w:rPr>
          <w:rFonts w:hint="eastAsia" w:ascii="仿宋" w:hAnsi="仿宋" w:eastAsia="仿宋" w:cs="仿宋"/>
          <w:color w:val="000000"/>
          <w:sz w:val="28"/>
          <w:szCs w:val="28"/>
          <w:u w:val="single"/>
          <w:lang w:val="en-US" w:bidi="ar-SA"/>
        </w:rPr>
        <w:t>（</w:t>
      </w:r>
      <w:r>
        <w:rPr>
          <w:rFonts w:hint="eastAsia" w:ascii="仿宋" w:hAnsi="仿宋" w:eastAsia="仿宋" w:cs="仿宋"/>
          <w:color w:val="000000"/>
          <w:sz w:val="28"/>
          <w:szCs w:val="28"/>
          <w:highlight w:val="yellow"/>
          <w:u w:val="single"/>
          <w:lang w:val="en-US" w:bidi="ar-SA"/>
        </w:rPr>
        <w:t>¥</w:t>
      </w:r>
      <w:r>
        <w:rPr>
          <w:rFonts w:hint="eastAsia" w:ascii="仿宋" w:hAnsi="仿宋" w:eastAsia="仿宋" w:cs="仿宋"/>
          <w:color w:val="000000"/>
          <w:sz w:val="28"/>
          <w:szCs w:val="28"/>
          <w:u w:val="single"/>
          <w:lang w:val="en-US" w:bidi="ar-SA"/>
        </w:rPr>
        <w:t>）</w:t>
      </w:r>
      <w:r>
        <w:rPr>
          <w:rFonts w:hint="eastAsia" w:ascii="仿宋" w:hAnsi="仿宋" w:eastAsia="仿宋" w:cs="仿宋"/>
          <w:kern w:val="2"/>
          <w:sz w:val="28"/>
          <w:szCs w:val="28"/>
          <w:lang w:val="en-US" w:bidi="ar-SA"/>
        </w:rPr>
        <w:t>，是货物设计、制造、包装、仓储、运输、安装及乙方应当提供的伴随服务/售后服务的所有费用及与本项目有关的一切税费，甲方在采购、响应文件约定范围内不再支付其他任何费用。</w:t>
      </w:r>
    </w:p>
    <w:p>
      <w:pPr>
        <w:autoSpaceDE/>
        <w:autoSpaceDN/>
        <w:ind w:firstLine="562" w:firstLineChars="200"/>
        <w:jc w:val="both"/>
        <w:rPr>
          <w:rFonts w:hint="eastAsia" w:ascii="仿宋" w:hAnsi="仿宋" w:eastAsia="仿宋" w:cs="仿宋"/>
          <w:kern w:val="2"/>
          <w:sz w:val="28"/>
          <w:szCs w:val="28"/>
          <w:lang w:val="en-US" w:bidi="ar-SA"/>
        </w:rPr>
      </w:pPr>
      <w:r>
        <w:rPr>
          <w:rFonts w:hint="eastAsia" w:ascii="仿宋" w:hAnsi="仿宋" w:eastAsia="仿宋" w:cs="仿宋"/>
          <w:b/>
          <w:bCs/>
          <w:kern w:val="2"/>
          <w:sz w:val="28"/>
          <w:szCs w:val="28"/>
          <w:lang w:val="en-US" w:bidi="ar-SA"/>
        </w:rPr>
        <w:t>三、付款方式</w:t>
      </w:r>
      <w:r>
        <w:rPr>
          <w:rFonts w:hint="eastAsia" w:ascii="仿宋" w:hAnsi="仿宋" w:eastAsia="仿宋" w:cs="仿宋"/>
          <w:kern w:val="2"/>
          <w:sz w:val="28"/>
          <w:szCs w:val="28"/>
          <w:lang w:val="en-US" w:bidi="ar-SA"/>
        </w:rPr>
        <w:t>：</w:t>
      </w:r>
      <w:r>
        <w:rPr>
          <w:rFonts w:hint="eastAsia" w:ascii="仿宋" w:hAnsi="仿宋" w:eastAsia="仿宋" w:cs="仿宋"/>
          <w:sz w:val="28"/>
          <w:szCs w:val="28"/>
          <w:highlight w:val="yellow"/>
          <w:lang w:val="en-US" w:bidi="ar-SA"/>
        </w:rPr>
        <w:t>合同签订、货物送达、安装调试完成且验收合格,收到符合国家法律规定的税票后30天内支付合同总额的100%。</w:t>
      </w:r>
    </w:p>
    <w:p>
      <w:pPr>
        <w:autoSpaceDE/>
        <w:autoSpaceDN/>
        <w:ind w:firstLine="562" w:firstLineChars="200"/>
        <w:jc w:val="both"/>
        <w:rPr>
          <w:rFonts w:hint="eastAsia" w:ascii="仿宋" w:hAnsi="仿宋" w:eastAsia="仿宋" w:cs="仿宋"/>
          <w:kern w:val="2"/>
          <w:sz w:val="28"/>
          <w:szCs w:val="28"/>
          <w:lang w:val="en-US" w:bidi="ar-SA"/>
        </w:rPr>
      </w:pPr>
      <w:r>
        <w:rPr>
          <w:rFonts w:hint="eastAsia" w:ascii="仿宋" w:hAnsi="仿宋" w:eastAsia="仿宋" w:cs="仿宋"/>
          <w:b/>
          <w:bCs/>
          <w:kern w:val="2"/>
          <w:sz w:val="28"/>
          <w:szCs w:val="28"/>
          <w:lang w:val="en-US" w:bidi="ar-SA"/>
        </w:rPr>
        <w:t>四、交货时间、交货地点：</w:t>
      </w:r>
    </w:p>
    <w:p>
      <w:pPr>
        <w:autoSpaceDE/>
        <w:autoSpaceDN/>
        <w:ind w:firstLine="560" w:firstLineChars="200"/>
        <w:jc w:val="both"/>
        <w:rPr>
          <w:rFonts w:hint="eastAsia" w:ascii="仿宋" w:hAnsi="仿宋" w:eastAsia="仿宋" w:cs="仿宋"/>
          <w:sz w:val="28"/>
          <w:szCs w:val="28"/>
          <w:lang w:val="en-US" w:bidi="ar-SA"/>
        </w:rPr>
      </w:pPr>
      <w:r>
        <w:rPr>
          <w:rFonts w:hint="eastAsia" w:ascii="仿宋" w:hAnsi="仿宋" w:eastAsia="仿宋" w:cs="仿宋"/>
          <w:sz w:val="28"/>
          <w:szCs w:val="28"/>
          <w:lang w:val="en-US" w:bidi="ar-SA"/>
        </w:rPr>
        <w:t>1、乙方必须在合同签订并收到采购人通知后30个天内供货、安装、调试，交付使用，交货地点为甲方指定地点。如因甲方原因需要延期供货，乙方须配合甲方工作进度进行。标的物交付前的运输风险（毁损、灭失）由乙方承担，且甲方有权要求乙方无条件另行提供合格的标的物。</w:t>
      </w:r>
    </w:p>
    <w:p>
      <w:pPr>
        <w:autoSpaceDE/>
        <w:autoSpaceDN/>
        <w:ind w:firstLine="560" w:firstLineChars="200"/>
        <w:jc w:val="both"/>
        <w:rPr>
          <w:rFonts w:hint="eastAsia" w:ascii="仿宋" w:hAnsi="仿宋" w:eastAsia="仿宋" w:cs="仿宋"/>
          <w:sz w:val="28"/>
          <w:szCs w:val="28"/>
          <w:lang w:val="en-US" w:bidi="ar-SA"/>
        </w:rPr>
      </w:pPr>
      <w:r>
        <w:rPr>
          <w:rFonts w:hint="eastAsia" w:ascii="仿宋" w:hAnsi="仿宋" w:eastAsia="仿宋" w:cs="仿宋"/>
          <w:sz w:val="28"/>
          <w:szCs w:val="28"/>
          <w:lang w:val="en-US" w:bidi="ar-SA"/>
        </w:rPr>
        <w:t>2、乙方提供的全部货物，均应采用国家或专业标准保护措施进行包装，使包装应适应于海运、或空运、或陆上长距离运输，并有良好的防潮、防震、防锈和防粗暴装卸等保护措施，确保货物安全无损运抵现场。交付前，由于包装不善所引起的货物锈蚀、损坏和损失造成的后果均由乙方承担，甲方有权拒绝接收货物并要求乙方无条件换货。</w:t>
      </w:r>
    </w:p>
    <w:p>
      <w:pPr>
        <w:autoSpaceDE/>
        <w:autoSpaceDN/>
        <w:spacing w:after="120"/>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sz w:val="28"/>
          <w:szCs w:val="28"/>
          <w:lang w:val="en-US" w:bidi="ar-SA"/>
        </w:rPr>
        <w:t>3、</w:t>
      </w:r>
      <w:r>
        <w:rPr>
          <w:rFonts w:hint="eastAsia" w:ascii="仿宋" w:hAnsi="仿宋" w:eastAsia="仿宋" w:cs="仿宋"/>
          <w:kern w:val="2"/>
          <w:sz w:val="28"/>
          <w:szCs w:val="28"/>
          <w:lang w:val="en-US" w:bidi="ar-SA"/>
        </w:rPr>
        <w:t>验收相关事宜联系设备科。</w:t>
      </w:r>
    </w:p>
    <w:p>
      <w:pPr>
        <w:autoSpaceDE/>
        <w:autoSpaceDN/>
        <w:spacing w:after="120"/>
        <w:ind w:firstLine="482"/>
        <w:jc w:val="both"/>
        <w:rPr>
          <w:rFonts w:hint="eastAsia" w:ascii="仿宋" w:hAnsi="仿宋" w:eastAsia="仿宋" w:cs="仿宋"/>
          <w:b/>
          <w:bCs/>
          <w:kern w:val="2"/>
          <w:sz w:val="28"/>
          <w:szCs w:val="28"/>
          <w:lang w:val="en-US" w:bidi="ar-SA"/>
        </w:rPr>
      </w:pPr>
      <w:r>
        <w:rPr>
          <w:rFonts w:hint="eastAsia" w:ascii="仿宋" w:hAnsi="仿宋" w:eastAsia="仿宋" w:cs="仿宋"/>
          <w:b/>
          <w:bCs/>
          <w:kern w:val="2"/>
          <w:sz w:val="28"/>
          <w:szCs w:val="28"/>
          <w:lang w:val="en-US" w:bidi="ar-SA"/>
        </w:rPr>
        <w:t>五、质量保证</w:t>
      </w:r>
    </w:p>
    <w:p>
      <w:pPr>
        <w:autoSpaceDE/>
        <w:autoSpaceDN/>
        <w:ind w:firstLine="560" w:firstLineChars="200"/>
        <w:jc w:val="both"/>
        <w:rPr>
          <w:rFonts w:hint="eastAsia" w:ascii="仿宋" w:hAnsi="仿宋" w:eastAsia="仿宋" w:cs="仿宋"/>
          <w:sz w:val="28"/>
          <w:szCs w:val="28"/>
          <w:lang w:val="en-US" w:bidi="ar-SA"/>
        </w:rPr>
      </w:pPr>
      <w:r>
        <w:rPr>
          <w:rFonts w:hint="eastAsia" w:ascii="仿宋" w:hAnsi="仿宋" w:eastAsia="仿宋" w:cs="仿宋"/>
          <w:sz w:val="28"/>
          <w:szCs w:val="28"/>
          <w:lang w:val="en-US" w:bidi="ar-SA"/>
        </w:rPr>
        <w:t>1、履约保证金：乙方应在收到《中标通知书》后，应按甲方的要求，向甲方提交合同总价款</w:t>
      </w:r>
      <w:r>
        <w:rPr>
          <w:rFonts w:hint="eastAsia" w:ascii="仿宋" w:hAnsi="仿宋" w:eastAsia="仿宋" w:cs="仿宋"/>
          <w:sz w:val="28"/>
          <w:szCs w:val="28"/>
          <w:highlight w:val="yellow"/>
          <w:u w:val="single"/>
          <w:lang w:val="en-US" w:bidi="ar-SA"/>
        </w:rPr>
        <w:t>5%</w:t>
      </w:r>
      <w:r>
        <w:rPr>
          <w:rFonts w:hint="eastAsia" w:ascii="仿宋" w:hAnsi="仿宋" w:eastAsia="仿宋" w:cs="仿宋"/>
          <w:sz w:val="28"/>
          <w:szCs w:val="28"/>
          <w:lang w:val="en-US" w:bidi="ar-SA"/>
        </w:rPr>
        <w:t>的履约保证金；履约保证金用于合同履行过程中约束乙方的任一行为，乙方违约的，甲方有权一次性没收全部履约保证金，且不免除乙方因违约给甲方造成损失的赔偿义务。待乙方履行完合同约定义务（含质保期内的维保义务）后设备无质量问题的一次性退还履约保证金，不计利息。</w:t>
      </w:r>
    </w:p>
    <w:p>
      <w:pPr>
        <w:autoSpaceDE/>
        <w:autoSpaceDN/>
        <w:ind w:firstLine="560" w:firstLineChars="200"/>
        <w:jc w:val="both"/>
        <w:rPr>
          <w:rFonts w:hint="eastAsia" w:ascii="仿宋" w:hAnsi="仿宋" w:eastAsia="仿宋" w:cs="仿宋"/>
          <w:sz w:val="28"/>
          <w:szCs w:val="28"/>
          <w:lang w:val="en-US" w:bidi="ar-SA"/>
        </w:rPr>
      </w:pPr>
      <w:r>
        <w:rPr>
          <w:rFonts w:hint="eastAsia" w:ascii="仿宋" w:hAnsi="仿宋" w:eastAsia="仿宋" w:cs="仿宋"/>
          <w:sz w:val="28"/>
          <w:szCs w:val="28"/>
          <w:lang w:val="en-US" w:bidi="ar-SA"/>
        </w:rPr>
        <w:t>2、乙方应保证货物是全新、未使用过的原装合格正品，生产日期应在货物送至甲方现场半年内，并完全符合招标文件及本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因此而造成甲方的任何损失由乙方承担。</w:t>
      </w:r>
    </w:p>
    <w:p>
      <w:pPr>
        <w:autoSpaceDE/>
        <w:autoSpaceDN/>
        <w:ind w:firstLine="560" w:firstLineChars="200"/>
        <w:jc w:val="both"/>
        <w:rPr>
          <w:rFonts w:hint="eastAsia" w:ascii="仿宋" w:hAnsi="仿宋" w:eastAsia="仿宋" w:cs="仿宋"/>
          <w:sz w:val="28"/>
          <w:szCs w:val="28"/>
          <w:lang w:val="en-US" w:bidi="ar-SA"/>
        </w:rPr>
      </w:pPr>
      <w:r>
        <w:rPr>
          <w:rFonts w:hint="eastAsia" w:ascii="仿宋" w:hAnsi="仿宋" w:eastAsia="仿宋" w:cs="仿宋"/>
          <w:sz w:val="28"/>
          <w:szCs w:val="28"/>
          <w:lang w:val="en-US" w:bidi="ar-SA"/>
        </w:rPr>
        <w:t>3、乙方应保证为甲方提供的任何产品的全部或部分、硬件或软件等，均不得侵犯第三方合法拥有的知识产权。</w:t>
      </w:r>
      <w:r>
        <w:rPr>
          <w:rFonts w:hint="eastAsia" w:ascii="仿宋" w:hAnsi="仿宋" w:eastAsia="仿宋" w:cs="仿宋"/>
          <w:kern w:val="2"/>
          <w:sz w:val="28"/>
          <w:szCs w:val="28"/>
          <w:lang w:val="en-US" w:bidi="ar-SA"/>
        </w:rPr>
        <w:t>若因知识产权问题导致甲方无法使用货物或发生了损害赔偿的，乙方应进行赔偿，甲方有权无条件收取合同总价5%的价款作为违约金，且收取违约金不免除乙方的赔偿责任，本条款不因合同终止/解除无效。</w:t>
      </w:r>
    </w:p>
    <w:p>
      <w:pPr>
        <w:autoSpaceDE/>
        <w:autoSpaceDN/>
        <w:ind w:firstLine="560" w:firstLineChars="200"/>
        <w:rPr>
          <w:rFonts w:hint="eastAsia" w:ascii="仿宋" w:hAnsi="仿宋" w:eastAsia="仿宋" w:cs="仿宋"/>
          <w:sz w:val="28"/>
          <w:szCs w:val="28"/>
          <w:lang w:val="en-US" w:bidi="ar-SA"/>
        </w:rPr>
      </w:pPr>
      <w:r>
        <w:rPr>
          <w:rFonts w:hint="eastAsia" w:ascii="仿宋" w:hAnsi="仿宋" w:eastAsia="仿宋" w:cs="仿宋"/>
          <w:sz w:val="28"/>
          <w:szCs w:val="28"/>
          <w:lang w:val="en-US" w:bidi="ar-SA"/>
        </w:rPr>
        <w:t>4、甲方有权对乙方所供应产品进行检验，检验结果应符合行业通行标准、厂方出厂标准以及本采购文件的要求，若检验结果不符合以上任意一条标准，乙方应承担合同总额20%的违约责任，同时，甲方有权要求乙方重新提供符合要求的设备仪器或解除合同的履行。</w:t>
      </w:r>
    </w:p>
    <w:p>
      <w:pPr>
        <w:autoSpaceDE/>
        <w:autoSpaceDN/>
        <w:ind w:firstLine="562" w:firstLineChars="200"/>
        <w:rPr>
          <w:rFonts w:hint="eastAsia" w:ascii="仿宋" w:hAnsi="仿宋" w:eastAsia="仿宋" w:cs="仿宋"/>
          <w:sz w:val="28"/>
          <w:szCs w:val="28"/>
          <w:lang w:val="en-US" w:bidi="ar-SA"/>
        </w:rPr>
      </w:pPr>
      <w:r>
        <w:rPr>
          <w:rFonts w:hint="eastAsia" w:ascii="仿宋" w:hAnsi="仿宋" w:eastAsia="仿宋" w:cs="仿宋"/>
          <w:b/>
          <w:bCs/>
          <w:kern w:val="2"/>
          <w:sz w:val="28"/>
          <w:szCs w:val="28"/>
          <w:lang w:val="en-US" w:bidi="ar-SA"/>
        </w:rPr>
        <w:t>六、验收</w:t>
      </w:r>
      <w:r>
        <w:rPr>
          <w:rFonts w:hint="eastAsia" w:ascii="仿宋" w:hAnsi="仿宋" w:eastAsia="仿宋" w:cs="仿宋"/>
          <w:b/>
          <w:bCs/>
          <w:kern w:val="2"/>
          <w:sz w:val="28"/>
          <w:szCs w:val="28"/>
          <w:shd w:val="clear" w:color="auto" w:fill="FFFFFF"/>
          <w:lang w:val="en-US" w:bidi="ar-SA"/>
        </w:rPr>
        <w:t>:</w:t>
      </w:r>
      <w:r>
        <w:rPr>
          <w:rFonts w:hint="eastAsia" w:ascii="仿宋" w:hAnsi="仿宋" w:eastAsia="仿宋" w:cs="仿宋"/>
          <w:sz w:val="28"/>
          <w:szCs w:val="28"/>
          <w:lang w:val="en-US" w:bidi="ar-SA"/>
        </w:rPr>
        <w:t>由甲方进行验收，设备完成安装调试达到可使用状态后试用30天内无故障并收到乙方书面验收申请后按甲方采购文件及乙方响应文件逐条进行正式验收。如有必要，可请第三方验收。</w:t>
      </w:r>
    </w:p>
    <w:p>
      <w:pPr>
        <w:autoSpaceDE/>
        <w:autoSpaceDN/>
        <w:ind w:firstLine="562" w:firstLineChars="200"/>
        <w:rPr>
          <w:rFonts w:hint="eastAsia" w:ascii="仿宋" w:hAnsi="仿宋" w:eastAsia="仿宋" w:cs="仿宋"/>
          <w:b/>
          <w:bCs/>
          <w:kern w:val="2"/>
          <w:sz w:val="28"/>
          <w:szCs w:val="28"/>
          <w:lang w:val="en-US" w:bidi="ar-SA"/>
        </w:rPr>
      </w:pPr>
      <w:r>
        <w:rPr>
          <w:rFonts w:hint="eastAsia" w:ascii="仿宋" w:hAnsi="仿宋" w:eastAsia="仿宋" w:cs="仿宋"/>
          <w:b/>
          <w:bCs/>
          <w:kern w:val="2"/>
          <w:sz w:val="28"/>
          <w:szCs w:val="28"/>
          <w:lang w:val="en-US" w:bidi="ar-SA"/>
        </w:rPr>
        <w:t>（1）出厂检验：</w:t>
      </w:r>
      <w:r>
        <w:rPr>
          <w:rFonts w:hint="eastAsia" w:ascii="仿宋" w:hAnsi="仿宋" w:eastAsia="仿宋" w:cs="仿宋"/>
          <w:kern w:val="2"/>
          <w:sz w:val="28"/>
          <w:szCs w:val="28"/>
          <w:lang w:val="en-US" w:bidi="ar-SA"/>
        </w:rPr>
        <w:t>乙方负责所提供货物的出厂检验，应按货物技术标准规定的检验项目和检验方法进行全面检验，所有提供的货物必须符合国家有关检测标准、行业标准以及产品的出厂标准，符合“三包”要求，保证货物原厂地和技术指标的真实性、完整性，并负责将货物送达甲方指定的供货地点。</w:t>
      </w:r>
    </w:p>
    <w:p>
      <w:pPr>
        <w:autoSpaceDE/>
        <w:autoSpaceDN/>
        <w:ind w:firstLine="562" w:firstLineChars="200"/>
        <w:rPr>
          <w:rFonts w:hint="eastAsia" w:ascii="仿宋" w:hAnsi="仿宋" w:eastAsia="仿宋" w:cs="仿宋"/>
          <w:kern w:val="2"/>
          <w:sz w:val="28"/>
          <w:szCs w:val="28"/>
          <w:lang w:val="en-US" w:bidi="ar-SA"/>
        </w:rPr>
      </w:pPr>
      <w:r>
        <w:rPr>
          <w:rFonts w:hint="eastAsia" w:ascii="仿宋" w:hAnsi="仿宋" w:eastAsia="仿宋" w:cs="仿宋"/>
          <w:b/>
          <w:bCs/>
          <w:kern w:val="2"/>
          <w:sz w:val="28"/>
          <w:szCs w:val="28"/>
          <w:lang w:val="en-US" w:bidi="ar-SA"/>
        </w:rPr>
        <w:t>（2）到货验收</w:t>
      </w:r>
      <w:r>
        <w:rPr>
          <w:rFonts w:hint="eastAsia" w:ascii="仿宋" w:hAnsi="仿宋" w:eastAsia="仿宋" w:cs="仿宋"/>
          <w:kern w:val="2"/>
          <w:sz w:val="28"/>
          <w:szCs w:val="28"/>
          <w:lang w:val="en-US" w:bidi="ar-SA"/>
        </w:rPr>
        <w:t>：货物送至甲方安装现场后，乙方和甲方一同拆箱，对其全部货物、零件、配件的型号、规格、数量、外型、外观、包装进行到货验收。乙方负责在项目验收时将系统的全部有关技术文件、资料、及安装、测试报告等文档汇集成册交付甲方，验收合格后方可安装。技术说明书、操作手册应同时提供电子版交给甲方。若乙方未将上述资料交与甲方，视为乙方供应的设备仪器来源不合法，甲方有权拒收并由乙方承担合同总额20%的违约责任。甲方有权要求乙方重新提供设备仪器，也有权决定解除合同的履行。</w:t>
      </w:r>
    </w:p>
    <w:p>
      <w:pPr>
        <w:autoSpaceDE/>
        <w:autoSpaceDN/>
        <w:ind w:firstLine="562" w:firstLineChars="200"/>
        <w:rPr>
          <w:rFonts w:hint="eastAsia" w:ascii="仿宋" w:hAnsi="仿宋" w:eastAsia="仿宋" w:cs="仿宋"/>
          <w:kern w:val="2"/>
          <w:sz w:val="28"/>
          <w:szCs w:val="28"/>
          <w:lang w:val="en-US" w:bidi="ar-SA"/>
        </w:rPr>
      </w:pPr>
      <w:r>
        <w:rPr>
          <w:rFonts w:hint="eastAsia" w:ascii="仿宋" w:hAnsi="仿宋" w:eastAsia="仿宋" w:cs="仿宋"/>
          <w:b/>
          <w:bCs/>
          <w:kern w:val="2"/>
          <w:sz w:val="28"/>
          <w:szCs w:val="28"/>
          <w:lang w:val="en-US" w:bidi="ar-SA"/>
        </w:rPr>
        <w:t>（3）试运行：</w:t>
      </w:r>
      <w:r>
        <w:rPr>
          <w:rFonts w:hint="eastAsia" w:ascii="仿宋" w:hAnsi="仿宋" w:eastAsia="仿宋" w:cs="仿宋"/>
          <w:kern w:val="2"/>
          <w:sz w:val="28"/>
          <w:szCs w:val="28"/>
          <w:lang w:val="en-US" w:bidi="ar-SA"/>
        </w:rPr>
        <w:t>乙方对货物的整体性能和功能进行自检，自检结果必须符合采购文件要求及合同中的相关条款，自检合格后转入为期</w:t>
      </w:r>
      <w:r>
        <w:rPr>
          <w:rFonts w:hint="eastAsia" w:ascii="仿宋" w:hAnsi="仿宋" w:eastAsia="仿宋" w:cs="仿宋"/>
          <w:b/>
          <w:bCs/>
          <w:kern w:val="2"/>
          <w:sz w:val="28"/>
          <w:szCs w:val="28"/>
          <w:lang w:val="en-US" w:bidi="ar-SA"/>
        </w:rPr>
        <w:t>1个月</w:t>
      </w:r>
      <w:r>
        <w:rPr>
          <w:rFonts w:hint="eastAsia" w:ascii="仿宋" w:hAnsi="仿宋" w:eastAsia="仿宋" w:cs="仿宋"/>
          <w:kern w:val="2"/>
          <w:sz w:val="28"/>
          <w:szCs w:val="28"/>
          <w:lang w:val="en-US" w:bidi="ar-SA"/>
        </w:rPr>
        <w:t>的试运行。试运行结束后，乙方向甲方提交自检记录和试运行记录，并向甲方提出书面验收申请。经甲方同意后，甲方和乙方共同进行设备的验收。</w:t>
      </w:r>
    </w:p>
    <w:p>
      <w:pPr>
        <w:autoSpaceDE/>
        <w:autoSpaceDN/>
        <w:ind w:firstLine="562" w:firstLineChars="200"/>
        <w:rPr>
          <w:rFonts w:hint="eastAsia" w:ascii="仿宋" w:hAnsi="仿宋" w:eastAsia="仿宋" w:cs="仿宋"/>
          <w:kern w:val="2"/>
          <w:sz w:val="28"/>
          <w:szCs w:val="28"/>
          <w:lang w:val="en-US" w:bidi="ar-SA"/>
        </w:rPr>
      </w:pPr>
      <w:r>
        <w:rPr>
          <w:rFonts w:hint="eastAsia" w:ascii="仿宋" w:hAnsi="仿宋" w:eastAsia="仿宋" w:cs="仿宋"/>
          <w:b/>
          <w:bCs/>
          <w:kern w:val="2"/>
          <w:sz w:val="28"/>
          <w:szCs w:val="28"/>
          <w:lang w:val="en-US" w:bidi="ar-SA"/>
        </w:rPr>
        <w:t>（4）最终验收：</w:t>
      </w:r>
      <w:r>
        <w:rPr>
          <w:rFonts w:hint="eastAsia" w:ascii="仿宋" w:hAnsi="仿宋" w:eastAsia="仿宋" w:cs="仿宋"/>
          <w:kern w:val="2"/>
          <w:sz w:val="28"/>
          <w:szCs w:val="28"/>
          <w:lang w:val="en-US" w:bidi="ar-SA"/>
        </w:rPr>
        <w:t>甲方将按照政府采购合同规定的技术、服务、安全标准组织验收，并出具验收书。验收书应当包括每一项技术、服务、安全标准的履约情况。验收结果经双方确认后，双方代表必须按规定的验收交接单上的项目对照本合同填好验收结果并签名盖章。验收过程中，若发现货物质量有问题乙方无条件免费更换，并无条件重新检测并调试直至验收合格交付使用。</w:t>
      </w:r>
    </w:p>
    <w:p>
      <w:pPr>
        <w:autoSpaceDE/>
        <w:autoSpaceDN/>
        <w:ind w:firstLine="562" w:firstLineChars="200"/>
        <w:rPr>
          <w:rFonts w:hint="eastAsia" w:ascii="仿宋" w:hAnsi="仿宋" w:eastAsia="仿宋" w:cs="仿宋"/>
          <w:sz w:val="28"/>
          <w:szCs w:val="28"/>
          <w:lang w:val="en-US" w:bidi="ar-SA"/>
        </w:rPr>
      </w:pPr>
      <w:r>
        <w:rPr>
          <w:rFonts w:hint="eastAsia" w:ascii="仿宋" w:hAnsi="仿宋" w:eastAsia="仿宋" w:cs="仿宋"/>
          <w:b/>
          <w:bCs/>
          <w:kern w:val="2"/>
          <w:sz w:val="28"/>
          <w:szCs w:val="28"/>
          <w:lang w:val="en-US" w:bidi="ar-SA"/>
        </w:rPr>
        <w:t>（5）验收费用</w:t>
      </w:r>
      <w:r>
        <w:rPr>
          <w:rFonts w:hint="eastAsia" w:ascii="仿宋" w:hAnsi="仿宋" w:eastAsia="仿宋" w:cs="仿宋"/>
          <w:kern w:val="2"/>
          <w:sz w:val="28"/>
          <w:szCs w:val="28"/>
          <w:lang w:val="en-US" w:bidi="ar-SA"/>
        </w:rPr>
        <w:t>：项目验收费用 (含专家劳务费、交通费、食宿、检验费等验收过程中发生的一切费用) 均由乙方负责支付，其费用已包含在合同价款中，甲方不另行支付。</w:t>
      </w:r>
    </w:p>
    <w:p>
      <w:pPr>
        <w:autoSpaceDE/>
        <w:autoSpaceDN/>
        <w:ind w:firstLine="482"/>
        <w:jc w:val="both"/>
        <w:rPr>
          <w:rFonts w:hint="eastAsia" w:ascii="仿宋" w:hAnsi="仿宋" w:eastAsia="仿宋" w:cs="仿宋"/>
          <w:b/>
          <w:bCs/>
          <w:kern w:val="2"/>
          <w:sz w:val="28"/>
          <w:szCs w:val="28"/>
          <w:lang w:val="en-US" w:bidi="ar-SA"/>
        </w:rPr>
      </w:pPr>
      <w:r>
        <w:rPr>
          <w:rFonts w:hint="eastAsia" w:ascii="仿宋" w:hAnsi="仿宋" w:eastAsia="仿宋" w:cs="仿宋"/>
          <w:b/>
          <w:bCs/>
          <w:kern w:val="2"/>
          <w:sz w:val="28"/>
          <w:szCs w:val="28"/>
          <w:lang w:val="en-US" w:bidi="ar-SA"/>
        </w:rPr>
        <w:t>七、伴随服务／售后服务：</w:t>
      </w:r>
    </w:p>
    <w:p>
      <w:pPr>
        <w:autoSpaceDE/>
        <w:autoSpaceDN/>
        <w:ind w:firstLine="560" w:firstLineChars="200"/>
        <w:rPr>
          <w:rFonts w:hint="eastAsia" w:ascii="仿宋" w:hAnsi="仿宋" w:eastAsia="仿宋" w:cs="仿宋"/>
          <w:b/>
          <w:bCs/>
          <w:sz w:val="28"/>
          <w:szCs w:val="28"/>
        </w:rPr>
      </w:pPr>
      <w:r>
        <w:rPr>
          <w:rFonts w:hint="eastAsia" w:ascii="仿宋" w:hAnsi="仿宋" w:eastAsia="仿宋" w:cs="仿宋"/>
          <w:kern w:val="2"/>
          <w:sz w:val="28"/>
          <w:szCs w:val="28"/>
        </w:rPr>
        <w:t>1、从验收合格之日起，乙方免费提供36</w:t>
      </w:r>
      <w:r>
        <w:rPr>
          <w:rFonts w:hint="eastAsia" w:ascii="仿宋" w:hAnsi="仿宋" w:eastAsia="仿宋" w:cs="仿宋"/>
          <w:b/>
          <w:kern w:val="2"/>
          <w:sz w:val="28"/>
          <w:szCs w:val="28"/>
        </w:rPr>
        <w:t>个月原厂</w:t>
      </w:r>
      <w:r>
        <w:rPr>
          <w:rFonts w:hint="eastAsia" w:ascii="仿宋" w:hAnsi="仿宋" w:eastAsia="仿宋" w:cs="仿宋"/>
          <w:kern w:val="2"/>
          <w:sz w:val="28"/>
          <w:szCs w:val="28"/>
        </w:rPr>
        <w:t>质保期，质保期自项目安装调试、验收合格之日起计算，质保期内乙方负责对其提供的货物和工程进行维修和附件（除一次性使用的耗材、试剂外的所有附件及零配件）的维护、更换、校验，不再收取任何费用，如有无法解决的故障，免费更换或退货处理。</w:t>
      </w:r>
      <w:r>
        <w:rPr>
          <w:rFonts w:hint="eastAsia" w:ascii="仿宋" w:hAnsi="仿宋" w:eastAsia="仿宋" w:cs="仿宋"/>
          <w:b/>
          <w:kern w:val="2"/>
          <w:sz w:val="28"/>
          <w:szCs w:val="28"/>
        </w:rPr>
        <w:t>售后服务电话：</w:t>
      </w:r>
    </w:p>
    <w:p>
      <w:pPr>
        <w:autoSpaceDE/>
        <w:autoSpaceDN/>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2、乙方安排有资质的工程师为甲方提供免费培训服务（工程师资质材料需提供给甲方备案），直至该货物可以正常使用并且操作人员能熟练操作为止。主要培训内容为货物的基本结构、性能、功能、主要部件的构造及处理，日常使用操作、保养与管理、常见故障的排除、紧急情况的处理等。技术培训时需准备培训内容的电子演示文稿（PPT），并制定培训后相关人员的考核试题。培训结束后将资料一并交给甲方。</w:t>
      </w:r>
    </w:p>
    <w:p>
      <w:pPr>
        <w:autoSpaceDE/>
        <w:autoSpaceDN/>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3、故障响应时间：乙方在保修期内要求经常回访，有问题做到及时处理。出现质量问题或故障时，响应时间≤2小时，工程师应在24 小时内到达现场并排除故障。保修期内如同一故障发生三次，或在三个月内无法修复，乙方无条件换货；如保修期内因故障停机，按停机时间的双倍顺延保修期。停机时间定义：在工作时发现设备故障，故障导致影响工作1小时以上4小时以下计停机时间为半天，大于4小时计1天，如果发生在非工作时间的备件更换、软硬件升级等不计入停机时间。</w:t>
      </w:r>
    </w:p>
    <w:p>
      <w:pPr>
        <w:autoSpaceDE/>
        <w:autoSpaceDN/>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4、质保期满后，乙方应提供终身维修，</w:t>
      </w:r>
      <w:r>
        <w:rPr>
          <w:rFonts w:hint="eastAsia" w:ascii="仿宋" w:hAnsi="仿宋" w:eastAsia="仿宋" w:cs="仿宋"/>
          <w:kern w:val="2"/>
          <w:sz w:val="28"/>
          <w:szCs w:val="28"/>
          <w:lang w:val="en-US"/>
        </w:rPr>
        <w:t>乙方仍保证</w:t>
      </w:r>
      <w:r>
        <w:rPr>
          <w:rFonts w:hint="eastAsia" w:ascii="仿宋" w:hAnsi="仿宋" w:eastAsia="仿宋" w:cs="仿宋"/>
          <w:kern w:val="2"/>
          <w:sz w:val="28"/>
          <w:szCs w:val="28"/>
        </w:rPr>
        <w:t>提供良好的技术支持及零部件的优惠供应，</w:t>
      </w:r>
      <w:r>
        <w:rPr>
          <w:rFonts w:hint="eastAsia" w:ascii="仿宋" w:hAnsi="仿宋" w:eastAsia="仿宋" w:cs="仿宋"/>
          <w:kern w:val="2"/>
          <w:sz w:val="28"/>
          <w:szCs w:val="28"/>
          <w:lang w:val="en-US"/>
        </w:rPr>
        <w:t>乙方不收取除零配件之外的任何费用（甲方只支</w:t>
      </w:r>
      <w:r>
        <w:rPr>
          <w:rFonts w:hint="eastAsia" w:ascii="仿宋" w:hAnsi="仿宋" w:eastAsia="仿宋" w:cs="仿宋"/>
          <w:kern w:val="2"/>
          <w:sz w:val="28"/>
          <w:szCs w:val="28"/>
        </w:rPr>
        <w:t>付零配件的费用</w:t>
      </w:r>
      <w:r>
        <w:rPr>
          <w:rFonts w:hint="eastAsia" w:ascii="仿宋" w:hAnsi="仿宋" w:eastAsia="仿宋" w:cs="仿宋"/>
          <w:kern w:val="2"/>
          <w:sz w:val="28"/>
          <w:szCs w:val="28"/>
          <w:lang w:val="en-US"/>
        </w:rPr>
        <w:t>），乙方更换零部件前应向</w:t>
      </w:r>
      <w:r>
        <w:rPr>
          <w:rFonts w:hint="eastAsia" w:ascii="仿宋" w:hAnsi="仿宋" w:eastAsia="仿宋" w:cs="仿宋"/>
          <w:kern w:val="2"/>
          <w:sz w:val="28"/>
          <w:szCs w:val="28"/>
        </w:rPr>
        <w:t>甲方</w:t>
      </w:r>
      <w:r>
        <w:rPr>
          <w:rFonts w:hint="eastAsia" w:ascii="仿宋" w:hAnsi="仿宋" w:eastAsia="仿宋" w:cs="仿宋"/>
          <w:kern w:val="2"/>
          <w:sz w:val="28"/>
          <w:szCs w:val="28"/>
          <w:lang w:val="en-US"/>
        </w:rPr>
        <w:t>提供书面报价单，甲方确认后方可更换</w:t>
      </w:r>
      <w:r>
        <w:rPr>
          <w:rFonts w:hint="eastAsia" w:ascii="仿宋" w:hAnsi="仿宋" w:eastAsia="仿宋" w:cs="仿宋"/>
          <w:kern w:val="2"/>
          <w:sz w:val="28"/>
          <w:szCs w:val="28"/>
        </w:rPr>
        <w:t>。</w:t>
      </w:r>
    </w:p>
    <w:p>
      <w:pPr>
        <w:autoSpaceDE/>
        <w:autoSpaceDN/>
        <w:ind w:firstLine="562" w:firstLineChars="200"/>
        <w:jc w:val="both"/>
        <w:rPr>
          <w:rFonts w:hint="eastAsia" w:ascii="仿宋" w:hAnsi="仿宋" w:eastAsia="仿宋" w:cs="仿宋"/>
          <w:b/>
          <w:bCs/>
          <w:sz w:val="28"/>
          <w:szCs w:val="28"/>
          <w:lang w:val="en-US" w:bidi="ar-SA"/>
        </w:rPr>
      </w:pPr>
      <w:r>
        <w:rPr>
          <w:rFonts w:hint="eastAsia" w:ascii="仿宋" w:hAnsi="仿宋" w:eastAsia="仿宋" w:cs="仿宋"/>
          <w:b/>
          <w:bCs/>
          <w:sz w:val="28"/>
          <w:szCs w:val="28"/>
          <w:lang w:val="en-US" w:bidi="ar-SA"/>
        </w:rPr>
        <w:t>八、违约责任：</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1、交货违约：如果乙方没有按照合同规定的时间交货并完成安装调试达到可使用状态，甲方有权从货款中直接扣除违约金，违约金应按每迟一天，按合同总价的</w:t>
      </w:r>
      <w:r>
        <w:rPr>
          <w:rFonts w:hint="eastAsia" w:ascii="仿宋" w:hAnsi="仿宋" w:eastAsia="仿宋" w:cs="仿宋"/>
          <w:kern w:val="2"/>
          <w:sz w:val="28"/>
          <w:szCs w:val="28"/>
          <w:highlight w:val="yellow"/>
          <w:lang w:val="en-US" w:bidi="ar-SA"/>
        </w:rPr>
        <w:t>2‰</w:t>
      </w:r>
      <w:r>
        <w:rPr>
          <w:rFonts w:hint="eastAsia" w:ascii="仿宋" w:hAnsi="仿宋" w:eastAsia="仿宋" w:cs="仿宋"/>
          <w:kern w:val="2"/>
          <w:sz w:val="28"/>
          <w:szCs w:val="28"/>
          <w:lang w:val="en-US" w:bidi="ar-SA"/>
        </w:rPr>
        <w:t>计收。乙方延迟交付货物超过1个月，甲方有权单方面解除合同并要求乙方承担合同总价20%的违约金。若因甲方原因导致乙方推迟交货，可以免责。</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2、质保违约：如果设备发生故障，乙方需按照合同第七条的约定处理故障，违约金按到场时间每迟一天，按合同总价的</w:t>
      </w:r>
      <w:r>
        <w:rPr>
          <w:rFonts w:hint="eastAsia" w:ascii="仿宋" w:hAnsi="仿宋" w:eastAsia="仿宋" w:cs="仿宋"/>
          <w:kern w:val="2"/>
          <w:sz w:val="28"/>
          <w:szCs w:val="28"/>
          <w:highlight w:val="yellow"/>
          <w:lang w:val="en-US" w:bidi="ar-SA"/>
        </w:rPr>
        <w:t>2‰</w:t>
      </w:r>
      <w:r>
        <w:rPr>
          <w:rFonts w:hint="eastAsia" w:ascii="仿宋" w:hAnsi="仿宋" w:eastAsia="仿宋" w:cs="仿宋"/>
          <w:kern w:val="2"/>
          <w:sz w:val="28"/>
          <w:szCs w:val="28"/>
          <w:lang w:val="en-US" w:bidi="ar-SA"/>
        </w:rPr>
        <w:t>计收，不足一天超过12小时算一天。在没有备用机使用的情况下设备连续故障超过1个月或经乙方两次维修货物仍不能达到合同约定质量标准，甲方有权选择下列方式之一处理：（1）解除合同、不支付任何费用且要求乙方返还已支付货款；（2）限期要求乙方更换全新原装设备；（3）甲方有权选择第三方公司维修，所产生费用从履约保证金中计扣。</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3、乙方所交付的货物或履约行为不符合合同约定的，乙方应承担合同总额20%的违约责任，或甲方有权解除合同并没收履约保证金。</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4、因乙方违约导致本合同解除，甲方有权全额没收乙方的履约保证金及质保金，并不免除乙方应承担的以上违约责任。</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5、因甲方原因逾期支付合同款项或逾期退还保证金的，甲方除应当支付合同款项或保证金本金以外，还应当按中国人民银行同期贷款基准利率上浮20%后的利率支付超期资金占用费给乙方，但因乙方自身原因导致无法及时支付或退还的除外。</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6、因甲方原因导致变更、中止或终止采购合同的，以及因政策变化等原因不能签订合同，造成乙方损失的，甲方应与乙方充分协商，给予合理补偿。</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7、在合同履行期间，乙方被列入重大税收失信主体、政府采购违法失信行为记录名单，或者被赣州市卫健委等政府部门列入“黑名单”或禁止业务往来时，视为乙方根本性违约，甲方有权解除合同，并没收履约保证金。</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8、乙方在合同履行期内或质保期不能及时响应甲方维修要求的，甲方可按每次1000元的标准扣除乙方的履约保证金，并有权委托他人进行维修，发生的费用由乙方承担。</w:t>
      </w:r>
    </w:p>
    <w:p>
      <w:pPr>
        <w:adjustRightInd w:val="0"/>
        <w:ind w:firstLine="560" w:firstLineChars="200"/>
        <w:rPr>
          <w:rFonts w:hint="eastAsia" w:ascii="仿宋" w:hAnsi="仿宋" w:eastAsia="仿宋" w:cs="仿宋"/>
          <w:color w:val="000000"/>
          <w:sz w:val="28"/>
          <w:szCs w:val="28"/>
          <w:lang w:val="en-US" w:bidi="ar-SA"/>
        </w:rPr>
      </w:pPr>
      <w:r>
        <w:rPr>
          <w:rFonts w:hint="eastAsia" w:ascii="仿宋" w:hAnsi="仿宋" w:eastAsia="仿宋" w:cs="仿宋"/>
          <w:kern w:val="2"/>
          <w:sz w:val="28"/>
          <w:szCs w:val="28"/>
          <w:lang w:val="en-US" w:bidi="ar-SA"/>
        </w:rPr>
        <w:t>9、乙方在合同期及质保期内有任一违约行为或产品有任一质量问题的，甲方有权全额没收乙方的履约保证金，并不免除乙方应承担的以上违约责任。</w:t>
      </w:r>
    </w:p>
    <w:p>
      <w:pPr>
        <w:autoSpaceDE/>
        <w:autoSpaceDN/>
        <w:ind w:firstLine="562" w:firstLineChars="200"/>
        <w:jc w:val="both"/>
        <w:rPr>
          <w:rFonts w:hint="eastAsia" w:ascii="仿宋" w:hAnsi="仿宋" w:eastAsia="仿宋" w:cs="仿宋"/>
          <w:b/>
          <w:bCs/>
          <w:sz w:val="28"/>
          <w:szCs w:val="28"/>
          <w:lang w:val="en-US" w:bidi="ar-SA"/>
        </w:rPr>
      </w:pPr>
      <w:r>
        <w:rPr>
          <w:rFonts w:hint="eastAsia" w:ascii="仿宋" w:hAnsi="仿宋" w:eastAsia="仿宋" w:cs="仿宋"/>
          <w:b/>
          <w:bCs/>
          <w:sz w:val="28"/>
          <w:szCs w:val="28"/>
          <w:lang w:val="en-US" w:bidi="ar-SA"/>
        </w:rPr>
        <w:t>九、争议解决</w:t>
      </w:r>
    </w:p>
    <w:p>
      <w:pPr>
        <w:autoSpaceDE/>
        <w:autoSpaceDN/>
        <w:ind w:firstLine="560" w:firstLineChars="200"/>
        <w:jc w:val="both"/>
        <w:rPr>
          <w:rFonts w:hint="eastAsia" w:ascii="仿宋" w:hAnsi="仿宋" w:eastAsia="仿宋" w:cs="仿宋"/>
          <w:sz w:val="28"/>
          <w:szCs w:val="28"/>
          <w:lang w:bidi="ar-SA"/>
        </w:rPr>
      </w:pPr>
      <w:r>
        <w:rPr>
          <w:rFonts w:hint="eastAsia" w:ascii="仿宋" w:hAnsi="仿宋" w:eastAsia="仿宋" w:cs="仿宋"/>
          <w:sz w:val="28"/>
          <w:szCs w:val="28"/>
          <w:lang w:bidi="ar-SA"/>
        </w:rPr>
        <w:t>本合同履行过程中发生争议的，先由双方协商解决，协商不成的，任一方可向甲方所在地人民法院提起诉讼。</w:t>
      </w:r>
    </w:p>
    <w:p>
      <w:pPr>
        <w:adjustRightInd w:val="0"/>
        <w:ind w:firstLine="560" w:firstLineChars="200"/>
        <w:rPr>
          <w:rFonts w:hint="eastAsia" w:ascii="仿宋" w:hAnsi="仿宋" w:eastAsia="仿宋" w:cs="仿宋"/>
          <w:color w:val="000000"/>
          <w:sz w:val="28"/>
          <w:szCs w:val="28"/>
          <w:lang w:val="en-US" w:bidi="ar-SA"/>
        </w:rPr>
      </w:pPr>
      <w:r>
        <w:rPr>
          <w:rFonts w:hint="eastAsia" w:ascii="仿宋" w:hAnsi="仿宋" w:eastAsia="仿宋" w:cs="仿宋"/>
          <w:kern w:val="2"/>
          <w:sz w:val="28"/>
          <w:szCs w:val="28"/>
          <w:lang w:val="en-US"/>
        </w:rPr>
        <w:t>守约方为维护自身合法权益支出的维权费用（包括但不限于诉讼费、律师费、鉴定费、保全费等）由违约方承担。</w:t>
      </w:r>
    </w:p>
    <w:p>
      <w:pPr>
        <w:autoSpaceDE/>
        <w:autoSpaceDN/>
        <w:ind w:firstLine="562" w:firstLineChars="200"/>
        <w:jc w:val="both"/>
        <w:rPr>
          <w:rFonts w:hint="eastAsia" w:ascii="仿宋" w:hAnsi="仿宋" w:eastAsia="仿宋" w:cs="仿宋"/>
          <w:b/>
          <w:bCs/>
          <w:sz w:val="28"/>
          <w:szCs w:val="28"/>
          <w:lang w:val="en-US" w:bidi="ar-SA"/>
        </w:rPr>
      </w:pPr>
      <w:r>
        <w:rPr>
          <w:rFonts w:hint="eastAsia" w:ascii="仿宋" w:hAnsi="仿宋" w:eastAsia="仿宋" w:cs="仿宋"/>
          <w:b/>
          <w:bCs/>
          <w:sz w:val="28"/>
          <w:szCs w:val="28"/>
          <w:lang w:val="en-US" w:bidi="ar-SA"/>
        </w:rPr>
        <w:t>十、其他</w:t>
      </w:r>
    </w:p>
    <w:p>
      <w:pPr>
        <w:autoSpaceDE/>
        <w:autoSpaceDN/>
        <w:ind w:firstLine="560" w:firstLineChars="200"/>
        <w:jc w:val="both"/>
        <w:rPr>
          <w:rFonts w:hint="eastAsia" w:ascii="仿宋" w:hAnsi="仿宋" w:eastAsia="仿宋" w:cs="仿宋"/>
          <w:sz w:val="28"/>
          <w:szCs w:val="28"/>
          <w:lang w:val="en-US" w:bidi="ar-SA"/>
        </w:rPr>
      </w:pPr>
      <w:r>
        <w:rPr>
          <w:rFonts w:hint="eastAsia" w:ascii="仿宋" w:hAnsi="仿宋" w:eastAsia="仿宋" w:cs="仿宋"/>
          <w:sz w:val="28"/>
          <w:szCs w:val="28"/>
          <w:lang w:val="en-US" w:bidi="ar-SA"/>
        </w:rPr>
        <w:t>1.合同生效：本合同在甲乙双方签字盖章后生效。</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sz w:val="28"/>
          <w:szCs w:val="28"/>
          <w:lang w:val="en-US" w:bidi="ar-SA"/>
        </w:rPr>
        <w:t>2.本合同一式4份，以中文书写。甲方2份，乙方1份、代理机构1份，具有同等法律效力。</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3.本合同未尽事宜，参照采购响应文件执行，仍有未尽事宜的，参照民法典等法律法规的规定或由双方另行协商处理。</w:t>
      </w:r>
    </w:p>
    <w:p>
      <w:pPr>
        <w:autoSpaceDE/>
        <w:autoSpaceDN/>
        <w:ind w:firstLine="560" w:firstLineChars="200"/>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4.本合同附件一是本合同的重要组成部分，与本合同具有同等法律效力。</w:t>
      </w:r>
    </w:p>
    <w:p>
      <w:pPr>
        <w:autoSpaceDE/>
        <w:autoSpaceDN/>
        <w:jc w:val="both"/>
        <w:rPr>
          <w:rFonts w:hint="eastAsia" w:ascii="仿宋" w:hAnsi="仿宋" w:eastAsia="仿宋" w:cs="仿宋"/>
          <w:kern w:val="2"/>
          <w:sz w:val="28"/>
          <w:szCs w:val="28"/>
          <w:lang w:val="en-US" w:bidi="ar-SA"/>
        </w:rPr>
      </w:pPr>
    </w:p>
    <w:p>
      <w:pPr>
        <w:autoSpaceDE/>
        <w:autoSpaceDN/>
        <w:jc w:val="both"/>
        <w:rPr>
          <w:rFonts w:hint="eastAsia" w:ascii="仿宋" w:hAnsi="仿宋" w:eastAsia="仿宋" w:cs="仿宋"/>
          <w:color w:val="000000"/>
          <w:sz w:val="28"/>
          <w:szCs w:val="28"/>
        </w:rPr>
      </w:pPr>
      <w:r>
        <w:rPr>
          <w:rFonts w:hint="eastAsia" w:ascii="仿宋" w:hAnsi="仿宋" w:eastAsia="仿宋" w:cs="仿宋"/>
          <w:kern w:val="2"/>
          <w:sz w:val="28"/>
          <w:szCs w:val="28"/>
          <w:lang w:val="en-US" w:bidi="ar-SA"/>
        </w:rPr>
        <w:t>（以下无正文，为签章页）</w:t>
      </w:r>
    </w:p>
    <w:p>
      <w:pPr>
        <w:adjustRightInd w:val="0"/>
        <w:rPr>
          <w:rFonts w:hint="eastAsia" w:ascii="仿宋" w:hAnsi="仿宋" w:eastAsia="仿宋" w:cs="仿宋"/>
          <w:color w:val="000000"/>
          <w:sz w:val="28"/>
          <w:szCs w:val="28"/>
        </w:rPr>
      </w:pPr>
    </w:p>
    <w:tbl>
      <w:tblPr>
        <w:tblStyle w:val="18"/>
        <w:tblW w:w="5000" w:type="pct"/>
        <w:tblInd w:w="0" w:type="dxa"/>
        <w:tblLayout w:type="autofit"/>
        <w:tblCellMar>
          <w:top w:w="0" w:type="dxa"/>
          <w:left w:w="108" w:type="dxa"/>
          <w:bottom w:w="0" w:type="dxa"/>
          <w:right w:w="108" w:type="dxa"/>
        </w:tblCellMar>
      </w:tblPr>
      <w:tblGrid>
        <w:gridCol w:w="4240"/>
        <w:gridCol w:w="4288"/>
      </w:tblGrid>
      <w:tr>
        <w:tblPrEx>
          <w:tblCellMar>
            <w:top w:w="0" w:type="dxa"/>
            <w:left w:w="108" w:type="dxa"/>
            <w:bottom w:w="0" w:type="dxa"/>
            <w:right w:w="108" w:type="dxa"/>
          </w:tblCellMar>
        </w:tblPrEx>
        <w:trPr>
          <w:trHeight w:val="713" w:hRule="atLeast"/>
        </w:trPr>
        <w:tc>
          <w:tcPr>
            <w:tcW w:w="2486"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甲方(公章)：赣州市肿瘤医院</w:t>
            </w:r>
          </w:p>
        </w:tc>
        <w:tc>
          <w:tcPr>
            <w:tcW w:w="2514"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 xml:space="preserve">乙方(公章)： </w:t>
            </w:r>
          </w:p>
        </w:tc>
      </w:tr>
      <w:tr>
        <w:tblPrEx>
          <w:tblCellMar>
            <w:top w:w="0" w:type="dxa"/>
            <w:left w:w="108" w:type="dxa"/>
            <w:bottom w:w="0" w:type="dxa"/>
            <w:right w:w="108" w:type="dxa"/>
          </w:tblCellMar>
        </w:tblPrEx>
        <w:trPr>
          <w:trHeight w:val="972" w:hRule="atLeast"/>
        </w:trPr>
        <w:tc>
          <w:tcPr>
            <w:tcW w:w="2486"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甲方  代表：</w:t>
            </w:r>
          </w:p>
        </w:tc>
        <w:tc>
          <w:tcPr>
            <w:tcW w:w="2514"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乙方  代表：</w:t>
            </w:r>
          </w:p>
        </w:tc>
      </w:tr>
      <w:tr>
        <w:tblPrEx>
          <w:tblCellMar>
            <w:top w:w="0" w:type="dxa"/>
            <w:left w:w="108" w:type="dxa"/>
            <w:bottom w:w="0" w:type="dxa"/>
            <w:right w:w="108" w:type="dxa"/>
          </w:tblCellMar>
        </w:tblPrEx>
        <w:trPr>
          <w:trHeight w:val="1001" w:hRule="atLeast"/>
        </w:trPr>
        <w:tc>
          <w:tcPr>
            <w:tcW w:w="2486"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开  户  行：中国农业银行股份有限公司赣州营业部</w:t>
            </w:r>
          </w:p>
        </w:tc>
        <w:tc>
          <w:tcPr>
            <w:tcW w:w="2514"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 xml:space="preserve">开  户  行： </w:t>
            </w:r>
          </w:p>
        </w:tc>
      </w:tr>
      <w:tr>
        <w:tblPrEx>
          <w:tblCellMar>
            <w:top w:w="0" w:type="dxa"/>
            <w:left w:w="108" w:type="dxa"/>
            <w:bottom w:w="0" w:type="dxa"/>
            <w:right w:w="108" w:type="dxa"/>
          </w:tblCellMar>
        </w:tblPrEx>
        <w:trPr>
          <w:trHeight w:val="517" w:hRule="atLeast"/>
        </w:trPr>
        <w:tc>
          <w:tcPr>
            <w:tcW w:w="2486"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帐      号：14030201040023986</w:t>
            </w:r>
          </w:p>
        </w:tc>
        <w:tc>
          <w:tcPr>
            <w:tcW w:w="2514"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帐      号：</w:t>
            </w:r>
          </w:p>
        </w:tc>
      </w:tr>
      <w:tr>
        <w:tblPrEx>
          <w:tblCellMar>
            <w:top w:w="0" w:type="dxa"/>
            <w:left w:w="108" w:type="dxa"/>
            <w:bottom w:w="0" w:type="dxa"/>
            <w:right w:w="108" w:type="dxa"/>
          </w:tblCellMar>
        </w:tblPrEx>
        <w:trPr>
          <w:trHeight w:val="500" w:hRule="atLeast"/>
        </w:trPr>
        <w:tc>
          <w:tcPr>
            <w:tcW w:w="2486"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日      期：</w:t>
            </w:r>
          </w:p>
        </w:tc>
        <w:tc>
          <w:tcPr>
            <w:tcW w:w="2514" w:type="pct"/>
            <w:noWrap w:val="0"/>
            <w:vAlign w:val="top"/>
          </w:tcPr>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日      期：</w:t>
            </w:r>
          </w:p>
        </w:tc>
      </w:tr>
    </w:tbl>
    <w:p>
      <w:pPr>
        <w:keepNext/>
        <w:keepLines/>
        <w:autoSpaceDE/>
        <w:autoSpaceDN/>
        <w:spacing w:before="260" w:after="260" w:line="416" w:lineRule="auto"/>
        <w:jc w:val="both"/>
        <w:outlineLvl w:val="1"/>
        <w:rPr>
          <w:rFonts w:hint="eastAsia" w:ascii="仿宋" w:hAnsi="仿宋" w:eastAsia="仿宋" w:cs="仿宋"/>
          <w:kern w:val="2"/>
          <w:sz w:val="28"/>
          <w:szCs w:val="28"/>
          <w:highlight w:val="yellow"/>
          <w:lang w:val="en-US" w:bidi="ar-SA"/>
        </w:rPr>
      </w:pPr>
      <w:r>
        <w:rPr>
          <w:rFonts w:hint="eastAsia" w:ascii="仿宋" w:hAnsi="仿宋" w:eastAsia="仿宋" w:cs="仿宋"/>
          <w:kern w:val="2"/>
          <w:sz w:val="28"/>
          <w:szCs w:val="28"/>
          <w:lang w:val="en-US" w:bidi="ar-SA"/>
        </w:rPr>
        <w:t>附件一：</w:t>
      </w:r>
    </w:p>
    <w:p>
      <w:pPr>
        <w:keepNext/>
        <w:keepLines/>
        <w:autoSpaceDE/>
        <w:autoSpaceDN/>
        <w:spacing w:before="260" w:after="260" w:line="416" w:lineRule="auto"/>
        <w:ind w:firstLine="643"/>
        <w:jc w:val="center"/>
        <w:outlineLvl w:val="2"/>
        <w:rPr>
          <w:rFonts w:hint="eastAsia" w:ascii="仿宋" w:hAnsi="仿宋" w:eastAsia="仿宋" w:cs="仿宋"/>
          <w:b/>
          <w:bCs/>
          <w:kern w:val="2"/>
          <w:sz w:val="28"/>
          <w:szCs w:val="28"/>
          <w:lang w:val="en-US" w:bidi="ar-SA"/>
        </w:rPr>
      </w:pPr>
      <w:bookmarkStart w:id="21" w:name="_Hlk97890582"/>
      <w:r>
        <w:rPr>
          <w:rFonts w:hint="eastAsia" w:ascii="仿宋" w:hAnsi="仿宋" w:eastAsia="仿宋" w:cs="仿宋"/>
          <w:b/>
          <w:bCs/>
          <w:kern w:val="2"/>
          <w:sz w:val="28"/>
          <w:szCs w:val="28"/>
          <w:lang w:val="en-US" w:bidi="ar-SA"/>
        </w:rPr>
        <w:t>赣州市肿瘤医院廉洁购销合同</w:t>
      </w:r>
    </w:p>
    <w:bookmarkEnd w:id="21"/>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甲方（医疗卫生机构）：赣州市肿瘤医院</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乙方（企业及其代理人）：</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为进一步加强医疗卫生行风建设，规范医疗卫生机构购销行为，有效防范商业贿赂行为，营造公平交易、诚实守信的购销环境，经甲、乙双方协商，同意签订本合同，并共同遵守：</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一、甲乙双方按照《民法典》及合同约定购销货物（药品、卫生耗材、器械、设备、物资）、服务和工程等。</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二、甲方应当严格执行合同验收、入库等管理制度，对采购合同清单及发票进行查验，不得违反有关规定合同外采购、违价采购或从非规定渠道采购。</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三、甲方严禁接受乙方以任何名义、形式给予的回扣，不得将接受捐赠资助与采购挂钩。甲方工作人员不得参加乙方安排并支付费用的营业性娱乐场所的娱乐活动，不得以任何形式向乙方索要现金、有价证券、支付凭证和礼品等。被迫接受乙方给予的钱物，应予退还，无法退还的，有责任如实向有关纪检监察部门反映情况。</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四、严禁甲方工作人员利用任何途径和方式，为乙方统计医师个人及临床科室有关医药产品用量信息，或为乙方统计提供便利。</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五、乙方不得以回扣、宴请等方式影响甲方工作人员的选择权，不得在学术活动中提供旅游、超标准支付食宿费用。</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六、乙方指定      作为企业代表洽谈业务。企业代表必须在工作时间到甲方指定地点联系商谈，不得到住院部、门诊部、各相关科室等推销产品，不得借故到甲方相关领导、部门负责人及相关工作人员家中访谈并提供任何好处费。</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七、乙方如违反本合同，一经发现，甲方有权终止购销合同，并向有关部门报告。如乙方被列入商业贿赂不良记录，则严格按照《国家卫生计生委关于建立医药购销领域商业贿赂不良记录的规定》（国卫法制发〔2013〕50号）相关规定处理。</w:t>
      </w:r>
    </w:p>
    <w:p>
      <w:pPr>
        <w:autoSpaceDE/>
        <w:autoSpaceDN/>
        <w:jc w:val="both"/>
        <w:rPr>
          <w:rFonts w:hint="eastAsia" w:ascii="仿宋" w:hAnsi="仿宋" w:eastAsia="仿宋" w:cs="仿宋"/>
          <w:kern w:val="2"/>
          <w:sz w:val="28"/>
          <w:szCs w:val="28"/>
          <w:lang w:val="en-US" w:bidi="ar-SA"/>
        </w:rPr>
      </w:pPr>
      <w:r>
        <w:rPr>
          <w:rFonts w:hint="eastAsia" w:ascii="仿宋" w:hAnsi="仿宋" w:eastAsia="仿宋" w:cs="仿宋"/>
          <w:kern w:val="2"/>
          <w:sz w:val="28"/>
          <w:szCs w:val="28"/>
          <w:lang w:val="en-US" w:bidi="ar-SA"/>
        </w:rPr>
        <w:t>八、本合同作为双方      合同的附件，与项目合同一并执行，具有同等的法律效力，经合同双方签署后立即生效。</w:t>
      </w:r>
    </w:p>
    <w:p>
      <w:pPr>
        <w:autoSpaceDE/>
        <w:autoSpaceDN/>
        <w:jc w:val="both"/>
        <w:rPr>
          <w:rFonts w:hint="eastAsia" w:ascii="仿宋" w:hAnsi="仿宋" w:eastAsia="仿宋" w:cs="仿宋"/>
          <w:kern w:val="2"/>
          <w:sz w:val="28"/>
          <w:szCs w:val="28"/>
          <w:lang w:val="en-US" w:bidi="ar-SA"/>
        </w:rPr>
      </w:pPr>
    </w:p>
    <w:p>
      <w:pPr>
        <w:autoSpaceDE/>
        <w:autoSpaceDN/>
        <w:jc w:val="both"/>
        <w:rPr>
          <w:rFonts w:hint="eastAsia" w:ascii="仿宋" w:hAnsi="仿宋" w:eastAsia="仿宋" w:cs="仿宋"/>
          <w:kern w:val="2"/>
          <w:sz w:val="28"/>
          <w:szCs w:val="28"/>
          <w:lang w:val="en-US" w:bidi="ar-SA"/>
        </w:rPr>
      </w:pPr>
    </w:p>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甲方（盖章）：</w:t>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乙方（盖章）：</w:t>
      </w:r>
    </w:p>
    <w:p>
      <w:pPr>
        <w:autoSpaceDE/>
        <w:autoSpaceDN/>
        <w:jc w:val="both"/>
        <w:rPr>
          <w:rFonts w:hint="eastAsia" w:ascii="仿宋" w:hAnsi="仿宋" w:eastAsia="仿宋" w:cs="仿宋"/>
          <w:bCs/>
          <w:spacing w:val="10"/>
          <w:sz w:val="28"/>
          <w:szCs w:val="28"/>
          <w:lang w:val="en-US" w:bidi="ar-SA"/>
        </w:rPr>
      </w:pPr>
    </w:p>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法定代表人（负责人）：</w:t>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法定代表人（负责人）：</w:t>
      </w:r>
    </w:p>
    <w:p>
      <w:pPr>
        <w:autoSpaceDE/>
        <w:autoSpaceDN/>
        <w:jc w:val="both"/>
        <w:rPr>
          <w:rFonts w:hint="eastAsia" w:ascii="仿宋" w:hAnsi="仿宋" w:eastAsia="仿宋" w:cs="仿宋"/>
          <w:bCs/>
          <w:spacing w:val="10"/>
          <w:sz w:val="28"/>
          <w:szCs w:val="28"/>
          <w:lang w:val="en-US" w:bidi="ar-SA"/>
        </w:rPr>
      </w:pPr>
    </w:p>
    <w:p>
      <w:pPr>
        <w:autoSpaceDE/>
        <w:autoSpaceDN/>
        <w:jc w:val="both"/>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经办人签名：</w:t>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经办人签名：</w:t>
      </w:r>
    </w:p>
    <w:p>
      <w:pPr>
        <w:autoSpaceDE/>
        <w:autoSpaceDN/>
        <w:jc w:val="both"/>
        <w:rPr>
          <w:rFonts w:hint="eastAsia" w:ascii="仿宋" w:hAnsi="仿宋" w:eastAsia="仿宋" w:cs="仿宋"/>
          <w:bCs/>
          <w:spacing w:val="10"/>
          <w:sz w:val="28"/>
          <w:szCs w:val="28"/>
          <w:lang w:val="en-US" w:bidi="ar-SA"/>
        </w:rPr>
      </w:pPr>
    </w:p>
    <w:p>
      <w:pPr>
        <w:autoSpaceDE/>
        <w:autoSpaceDN/>
        <w:jc w:val="right"/>
        <w:rPr>
          <w:rFonts w:hint="eastAsia" w:ascii="仿宋" w:hAnsi="仿宋" w:eastAsia="仿宋" w:cs="仿宋"/>
          <w:bCs/>
          <w:spacing w:val="10"/>
          <w:sz w:val="28"/>
          <w:szCs w:val="28"/>
          <w:lang w:val="en-US" w:bidi="ar-SA"/>
        </w:rPr>
      </w:pPr>
      <w:r>
        <w:rPr>
          <w:rFonts w:hint="eastAsia" w:ascii="仿宋" w:hAnsi="仿宋" w:eastAsia="仿宋" w:cs="仿宋"/>
          <w:bCs/>
          <w:spacing w:val="10"/>
          <w:sz w:val="28"/>
          <w:szCs w:val="28"/>
          <w:lang w:val="en-US" w:bidi="ar-SA"/>
        </w:rPr>
        <w:t>年</w:t>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月</w:t>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日</w:t>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年</w:t>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月</w:t>
      </w:r>
      <w:r>
        <w:rPr>
          <w:rFonts w:hint="eastAsia" w:ascii="仿宋" w:hAnsi="仿宋" w:eastAsia="仿宋" w:cs="仿宋"/>
          <w:bCs/>
          <w:spacing w:val="10"/>
          <w:sz w:val="28"/>
          <w:szCs w:val="28"/>
          <w:lang w:val="en-US" w:bidi="ar-SA"/>
        </w:rPr>
        <w:tab/>
      </w:r>
      <w:r>
        <w:rPr>
          <w:rFonts w:hint="eastAsia" w:ascii="仿宋" w:hAnsi="仿宋" w:eastAsia="仿宋" w:cs="仿宋"/>
          <w:bCs/>
          <w:spacing w:val="10"/>
          <w:sz w:val="28"/>
          <w:szCs w:val="28"/>
          <w:lang w:val="en-US" w:bidi="ar-SA"/>
        </w:rPr>
        <w:t>日</w:t>
      </w:r>
    </w:p>
    <w:p>
      <w:pPr>
        <w:pStyle w:val="41"/>
        <w:tabs>
          <w:tab w:val="left" w:pos="1762"/>
        </w:tabs>
        <w:ind w:left="0" w:firstLine="0"/>
        <w:rPr>
          <w:sz w:val="24"/>
          <w:szCs w:val="24"/>
          <w:lang w:val="en-US"/>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p>
    <w:bookmarkEnd w:id="20"/>
    <w:p>
      <w:pPr>
        <w:pStyle w:val="5"/>
        <w:rPr>
          <w:rFonts w:hint="eastAsia" w:ascii="仿宋" w:hAnsi="仿宋" w:eastAsia="仿宋" w:cs="仿宋"/>
          <w:color w:val="auto"/>
          <w:kern w:val="0"/>
          <w:sz w:val="44"/>
          <w:szCs w:val="44"/>
          <w:highlight w:val="none"/>
          <w:lang w:val="en-US" w:eastAsia="zh-CN"/>
        </w:rPr>
      </w:pPr>
    </w:p>
    <w:p>
      <w:pPr>
        <w:pStyle w:val="2"/>
        <w:numPr>
          <w:numId w:val="0"/>
        </w:num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二、采购需求</w:t>
      </w:r>
    </w:p>
    <w:p>
      <w:pPr>
        <w:pStyle w:val="2"/>
        <w:numPr>
          <w:numId w:val="0"/>
        </w:numPr>
        <w:jc w:val="left"/>
        <w:rPr>
          <w:b/>
          <w:kern w:val="2"/>
          <w:sz w:val="28"/>
          <w:szCs w:val="28"/>
          <w:lang w:val="en-US" w:bidi="ar-SA"/>
        </w:rPr>
      </w:pPr>
      <w:r>
        <w:rPr>
          <w:rFonts w:hint="eastAsia"/>
          <w:b/>
          <w:kern w:val="2"/>
          <w:sz w:val="28"/>
          <w:szCs w:val="28"/>
          <w:lang w:val="en-US" w:bidi="ar-SA"/>
        </w:rPr>
        <w:t>全自动医用电子血压计技术需求</w:t>
      </w:r>
    </w:p>
    <w:p>
      <w:pPr>
        <w:tabs>
          <w:tab w:val="left" w:pos="1762"/>
        </w:tabs>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1.测量原理：示波法</w:t>
      </w:r>
      <w:r>
        <w:rPr>
          <w:rFonts w:hint="eastAsia" w:ascii="仿宋" w:hAnsi="仿宋" w:eastAsia="仿宋" w:cs="仿宋"/>
          <w:sz w:val="28"/>
          <w:szCs w:val="28"/>
          <w:lang w:eastAsia="zh-CN"/>
        </w:rPr>
        <w:t>；</w:t>
      </w:r>
    </w:p>
    <w:p>
      <w:pPr>
        <w:tabs>
          <w:tab w:val="left" w:pos="1762"/>
        </w:tabs>
        <w:ind w:firstLine="557" w:firstLineChars="199"/>
        <w:rPr>
          <w:rFonts w:hint="eastAsia" w:ascii="仿宋" w:hAnsi="仿宋" w:eastAsia="仿宋" w:cs="仿宋"/>
          <w:sz w:val="28"/>
          <w:szCs w:val="28"/>
          <w:lang w:eastAsia="zh-CN"/>
        </w:rPr>
      </w:pPr>
      <w:r>
        <w:rPr>
          <w:rFonts w:hint="eastAsia" w:ascii="仿宋" w:hAnsi="仿宋" w:eastAsia="仿宋" w:cs="仿宋"/>
          <w:sz w:val="28"/>
          <w:szCs w:val="28"/>
        </w:rPr>
        <w:t>2.显示屏≥7英寸彩色LCD显示屏</w:t>
      </w:r>
      <w:r>
        <w:rPr>
          <w:rFonts w:hint="eastAsia" w:ascii="仿宋" w:hAnsi="仿宋" w:eastAsia="仿宋" w:cs="仿宋"/>
          <w:sz w:val="28"/>
          <w:szCs w:val="28"/>
          <w:lang w:eastAsia="zh-CN"/>
        </w:rPr>
        <w:t>；</w:t>
      </w:r>
    </w:p>
    <w:p>
      <w:pPr>
        <w:tabs>
          <w:tab w:val="left" w:pos="1762"/>
        </w:tabs>
        <w:ind w:firstLine="557" w:firstLineChars="199"/>
        <w:rPr>
          <w:rFonts w:hint="eastAsia" w:ascii="仿宋" w:hAnsi="仿宋" w:eastAsia="仿宋" w:cs="仿宋"/>
          <w:sz w:val="28"/>
          <w:szCs w:val="28"/>
          <w:lang w:eastAsia="zh-CN"/>
        </w:rPr>
      </w:pPr>
      <w:r>
        <w:rPr>
          <w:rFonts w:hint="eastAsia" w:ascii="仿宋" w:hAnsi="仿宋" w:eastAsia="仿宋" w:cs="仿宋"/>
          <w:sz w:val="28"/>
          <w:szCs w:val="28"/>
        </w:rPr>
        <w:t>3.测量位置：左右臂均可</w:t>
      </w:r>
      <w:r>
        <w:rPr>
          <w:rFonts w:hint="eastAsia" w:ascii="仿宋" w:hAnsi="仿宋" w:eastAsia="仿宋" w:cs="仿宋"/>
          <w:sz w:val="28"/>
          <w:szCs w:val="28"/>
          <w:lang w:eastAsia="zh-CN"/>
        </w:rPr>
        <w:t>；</w:t>
      </w:r>
    </w:p>
    <w:p>
      <w:pPr>
        <w:tabs>
          <w:tab w:val="left" w:pos="1762"/>
        </w:tabs>
        <w:ind w:firstLine="557" w:firstLineChars="199"/>
        <w:rPr>
          <w:rFonts w:hint="eastAsia" w:ascii="仿宋" w:hAnsi="仿宋" w:eastAsia="仿宋" w:cs="仿宋"/>
          <w:sz w:val="28"/>
          <w:szCs w:val="28"/>
          <w:lang w:eastAsia="zh-CN"/>
        </w:rPr>
      </w:pPr>
      <w:r>
        <w:rPr>
          <w:rFonts w:hint="eastAsia" w:ascii="仿宋" w:hAnsi="仿宋" w:eastAsia="仿宋" w:cs="仿宋"/>
          <w:sz w:val="28"/>
          <w:szCs w:val="28"/>
        </w:rPr>
        <w:t>4.适应臂周范围：17～42cm以上</w:t>
      </w:r>
      <w:r>
        <w:rPr>
          <w:rFonts w:hint="eastAsia" w:ascii="仿宋" w:hAnsi="仿宋" w:eastAsia="仿宋" w:cs="仿宋"/>
          <w:sz w:val="28"/>
          <w:szCs w:val="28"/>
          <w:lang w:eastAsia="zh-CN"/>
        </w:rPr>
        <w:t>；</w:t>
      </w:r>
    </w:p>
    <w:p>
      <w:pPr>
        <w:tabs>
          <w:tab w:val="left" w:pos="1762"/>
        </w:tabs>
        <w:ind w:firstLine="557" w:firstLineChars="199"/>
        <w:rPr>
          <w:rFonts w:hint="eastAsia" w:ascii="仿宋" w:hAnsi="仿宋" w:eastAsia="仿宋" w:cs="仿宋"/>
          <w:sz w:val="28"/>
          <w:szCs w:val="28"/>
          <w:lang w:eastAsia="zh-CN"/>
        </w:rPr>
      </w:pPr>
      <w:r>
        <w:rPr>
          <w:rFonts w:hint="eastAsia" w:ascii="仿宋" w:hAnsi="仿宋" w:eastAsia="仿宋" w:cs="仿宋"/>
          <w:sz w:val="28"/>
          <w:szCs w:val="28"/>
        </w:rPr>
        <w:t>5.测量范围：血压量程：0～299mmHg以上；脉博数：40～180次/分以上</w:t>
      </w:r>
      <w:r>
        <w:rPr>
          <w:rFonts w:hint="eastAsia" w:ascii="仿宋" w:hAnsi="仿宋" w:eastAsia="仿宋" w:cs="仿宋"/>
          <w:sz w:val="28"/>
          <w:szCs w:val="28"/>
          <w:lang w:eastAsia="zh-CN"/>
        </w:rPr>
        <w:t>；</w:t>
      </w:r>
    </w:p>
    <w:p>
      <w:pPr>
        <w:tabs>
          <w:tab w:val="left" w:pos="1762"/>
        </w:tabs>
        <w:ind w:firstLine="557" w:firstLineChars="199"/>
        <w:rPr>
          <w:rFonts w:hint="eastAsia" w:ascii="仿宋" w:hAnsi="仿宋" w:eastAsia="仿宋" w:cs="仿宋"/>
          <w:sz w:val="28"/>
          <w:szCs w:val="28"/>
          <w:lang w:eastAsia="zh-CN"/>
        </w:rPr>
      </w:pPr>
      <w:r>
        <w:rPr>
          <w:rFonts w:hint="eastAsia" w:ascii="仿宋" w:hAnsi="仿宋" w:eastAsia="仿宋" w:cs="仿宋"/>
          <w:sz w:val="28"/>
          <w:szCs w:val="28"/>
        </w:rPr>
        <w:t>6.手臂伸入检测功能：手臂伸入臂筒时，感知测量开始，启动语音及画面的引导</w:t>
      </w:r>
      <w:r>
        <w:rPr>
          <w:rFonts w:hint="eastAsia" w:ascii="仿宋" w:hAnsi="仿宋" w:eastAsia="仿宋" w:cs="仿宋"/>
          <w:sz w:val="28"/>
          <w:szCs w:val="28"/>
          <w:lang w:eastAsia="zh-CN"/>
        </w:rPr>
        <w:t>；</w:t>
      </w:r>
    </w:p>
    <w:p>
      <w:pPr>
        <w:tabs>
          <w:tab w:val="left" w:pos="1762"/>
        </w:tabs>
        <w:ind w:firstLine="557" w:firstLineChars="199"/>
        <w:rPr>
          <w:rFonts w:hint="eastAsia" w:ascii="仿宋" w:hAnsi="仿宋" w:eastAsia="仿宋" w:cs="仿宋"/>
          <w:sz w:val="28"/>
          <w:szCs w:val="28"/>
          <w:lang w:eastAsia="zh-CN"/>
        </w:rPr>
      </w:pPr>
      <w:r>
        <w:rPr>
          <w:rFonts w:hint="eastAsia" w:ascii="仿宋" w:hAnsi="仿宋" w:eastAsia="仿宋" w:cs="仿宋"/>
          <w:sz w:val="28"/>
          <w:szCs w:val="28"/>
        </w:rPr>
        <w:t>7.测量精度：压力显示精度：±3mmHg（±0.4KPa）；脉搏测量精度：±2%或±2次/分（取最大者）</w:t>
      </w:r>
      <w:r>
        <w:rPr>
          <w:rFonts w:hint="eastAsia" w:ascii="仿宋" w:hAnsi="仿宋" w:eastAsia="仿宋" w:cs="仿宋"/>
          <w:sz w:val="28"/>
          <w:szCs w:val="28"/>
          <w:lang w:eastAsia="zh-CN"/>
        </w:rPr>
        <w:t>；</w:t>
      </w:r>
    </w:p>
    <w:p>
      <w:pPr>
        <w:tabs>
          <w:tab w:val="left" w:pos="1762"/>
        </w:tabs>
        <w:ind w:firstLine="557" w:firstLineChars="199"/>
        <w:rPr>
          <w:rFonts w:hint="eastAsia" w:ascii="仿宋" w:hAnsi="仿宋" w:eastAsia="仿宋" w:cs="仿宋"/>
          <w:sz w:val="28"/>
          <w:szCs w:val="28"/>
          <w:lang w:eastAsia="zh-CN"/>
        </w:rPr>
      </w:pPr>
      <w:r>
        <w:rPr>
          <w:rFonts w:hint="eastAsia" w:ascii="仿宋" w:hAnsi="仿宋" w:eastAsia="仿宋" w:cs="仿宋"/>
          <w:sz w:val="28"/>
          <w:szCs w:val="28"/>
        </w:rPr>
        <w:t>8.肘部位置传感器：电子肘部位置传感器，并有图标提示手臂放置位置是否正确</w:t>
      </w:r>
      <w:r>
        <w:rPr>
          <w:rFonts w:hint="eastAsia" w:ascii="仿宋" w:hAnsi="仿宋" w:eastAsia="仿宋" w:cs="仿宋"/>
          <w:sz w:val="28"/>
          <w:szCs w:val="28"/>
          <w:lang w:eastAsia="zh-CN"/>
        </w:rPr>
        <w:t>；</w:t>
      </w:r>
    </w:p>
    <w:p>
      <w:pPr>
        <w:tabs>
          <w:tab w:val="left" w:pos="1762"/>
        </w:tabs>
        <w:ind w:firstLine="557" w:firstLineChars="199"/>
        <w:rPr>
          <w:rFonts w:hint="eastAsia" w:ascii="仿宋" w:hAnsi="仿宋" w:eastAsia="仿宋" w:cs="仿宋"/>
          <w:sz w:val="28"/>
          <w:szCs w:val="28"/>
          <w:lang w:eastAsia="zh-CN"/>
        </w:rPr>
      </w:pPr>
      <w:r>
        <w:rPr>
          <w:rFonts w:hint="eastAsia" w:ascii="仿宋" w:hAnsi="仿宋" w:eastAsia="仿宋" w:cs="仿宋"/>
          <w:sz w:val="28"/>
          <w:szCs w:val="28"/>
        </w:rPr>
        <w:t>9.臂筒角度调节：自动上下浮动式臂筒（臂筒可根据测量者的坐姿高度自动上下调节≥10度）</w:t>
      </w:r>
      <w:r>
        <w:rPr>
          <w:rFonts w:hint="eastAsia" w:ascii="仿宋" w:hAnsi="仿宋" w:eastAsia="仿宋" w:cs="仿宋"/>
          <w:sz w:val="28"/>
          <w:szCs w:val="28"/>
          <w:lang w:eastAsia="zh-CN"/>
        </w:rPr>
        <w:t>；</w:t>
      </w:r>
    </w:p>
    <w:p>
      <w:pPr>
        <w:tabs>
          <w:tab w:val="left" w:pos="1762"/>
        </w:tabs>
        <w:ind w:firstLine="557" w:firstLineChars="199"/>
        <w:rPr>
          <w:rFonts w:hint="eastAsia" w:ascii="仿宋" w:hAnsi="仿宋" w:eastAsia="仿宋" w:cs="仿宋"/>
          <w:sz w:val="28"/>
          <w:szCs w:val="28"/>
          <w:lang w:eastAsia="zh-CN"/>
        </w:rPr>
      </w:pPr>
      <w:r>
        <w:rPr>
          <w:rFonts w:hint="eastAsia" w:ascii="仿宋" w:hAnsi="仿宋" w:eastAsia="仿宋" w:cs="仿宋"/>
          <w:sz w:val="28"/>
          <w:szCs w:val="28"/>
        </w:rPr>
        <w:t>10.使用期限：≥10万次或≥10年</w:t>
      </w:r>
      <w:r>
        <w:rPr>
          <w:rFonts w:hint="eastAsia" w:ascii="仿宋" w:hAnsi="仿宋" w:eastAsia="仿宋" w:cs="仿宋"/>
          <w:sz w:val="28"/>
          <w:szCs w:val="28"/>
          <w:lang w:eastAsia="zh-CN"/>
        </w:rPr>
        <w:t>。</w:t>
      </w:r>
    </w:p>
    <w:p>
      <w:pPr>
        <w:tabs>
          <w:tab w:val="left" w:pos="1762"/>
        </w:tabs>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商务需求：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1、交货地点：采购人指定地点。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2、交货时间：</w:t>
      </w:r>
      <w:r>
        <w:rPr>
          <w:rFonts w:hint="eastAsia" w:ascii="仿宋" w:hAnsi="仿宋" w:eastAsia="仿宋" w:cs="仿宋"/>
          <w:sz w:val="28"/>
          <w:szCs w:val="28"/>
          <w:highlight w:val="yellow"/>
        </w:rPr>
        <w:t>30天</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成交供应商必须在合同签订</w:t>
      </w:r>
      <w:bookmarkStart w:id="22" w:name="_Hlk160692470"/>
      <w:r>
        <w:rPr>
          <w:rFonts w:hint="eastAsia" w:ascii="仿宋" w:hAnsi="仿宋" w:eastAsia="仿宋" w:cs="仿宋"/>
          <w:sz w:val="28"/>
          <w:szCs w:val="28"/>
        </w:rPr>
        <w:t>并收到采购人通知后</w:t>
      </w:r>
      <w:bookmarkEnd w:id="22"/>
      <w:r>
        <w:rPr>
          <w:rFonts w:hint="eastAsia" w:ascii="仿宋" w:hAnsi="仿宋" w:eastAsia="仿宋" w:cs="仿宋"/>
          <w:sz w:val="28"/>
          <w:szCs w:val="28"/>
          <w:highlight w:val="yellow"/>
        </w:rPr>
        <w:t>30天</w:t>
      </w:r>
      <w:r>
        <w:rPr>
          <w:rFonts w:hint="eastAsia" w:ascii="仿宋" w:hAnsi="仿宋" w:eastAsia="仿宋" w:cs="仿宋"/>
          <w:sz w:val="28"/>
          <w:szCs w:val="28"/>
        </w:rPr>
        <w:t>内供货、安装、调试，交付使用。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由采购人进行验收，设备完成安装调试达到可使用状态后试用30天无故障并收到成交供应商书面验收申请后按成交供应商响应文件逐条进行正式验收。如有必要，可请第三方验收。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试运行：如在试运行期间设备发生故障，以故障解决之日起重新计算试运行时间，如验收前发生3次及以上设备故障，成交供应商需更换全新设备，更换设备后重新计算试运行时间，更换后的设备在试运行期间仍出现3次及以上设备故障，采购人有权解除合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4、售后服务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（1）安装和调试：成交供应商负责派厂家技术人员到现场进行免费安装调试，直至验收合格。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（2）技术培训：成交供应商应负责对采购人人员进行现场培训，直至采购人人员能完全操作和维护设备。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（3）免费质量保证（修）期：所投货物必须提供</w:t>
      </w:r>
      <w:r>
        <w:rPr>
          <w:rFonts w:hint="eastAsia" w:ascii="仿宋" w:hAnsi="仿宋" w:eastAsia="仿宋" w:cs="仿宋"/>
          <w:sz w:val="28"/>
          <w:szCs w:val="28"/>
          <w:highlight w:val="yellow"/>
        </w:rPr>
        <w:t>叁</w:t>
      </w:r>
      <w:r>
        <w:rPr>
          <w:rFonts w:hint="eastAsia" w:ascii="仿宋" w:hAnsi="仿宋" w:eastAsia="仿宋" w:cs="仿宋"/>
          <w:sz w:val="28"/>
          <w:szCs w:val="28"/>
        </w:rPr>
        <w:t>年（含</w:t>
      </w:r>
      <w:r>
        <w:rPr>
          <w:rFonts w:hint="eastAsia" w:ascii="仿宋" w:hAnsi="仿宋" w:eastAsia="仿宋" w:cs="仿宋"/>
          <w:sz w:val="28"/>
          <w:szCs w:val="28"/>
          <w:highlight w:val="yellow"/>
        </w:rPr>
        <w:t>叁</w:t>
      </w:r>
      <w:r>
        <w:rPr>
          <w:rFonts w:hint="eastAsia" w:ascii="仿宋" w:hAnsi="仿宋" w:eastAsia="仿宋" w:cs="仿宋"/>
          <w:sz w:val="28"/>
          <w:szCs w:val="28"/>
        </w:rPr>
        <w:t>年，采购需求另有规定除外）以上的质保期，质保期经安装调试、验收合格之日起计算。（技术参数要求有规定的，以其规定为准，响应供应商有优于采购文件承诺的以其承诺为准）。质保期内，成交供应商负责对其提供的货物和工程进行维修和附件（除一次性使用的耗材、试剂外的所有附件及零配件）的维护，不再收取任何费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（4）故障响应时间：如果设备发生故障，成交供应商需按照约定的时间处理故障，违约金按到场时间每迟一天，按合同总价的</w:t>
      </w:r>
      <w:r>
        <w:rPr>
          <w:rFonts w:hint="eastAsia" w:ascii="仿宋" w:hAnsi="仿宋" w:eastAsia="仿宋" w:cs="仿宋"/>
          <w:sz w:val="28"/>
          <w:szCs w:val="28"/>
          <w:highlight w:val="yellow"/>
        </w:rPr>
        <w:t>2‰</w:t>
      </w:r>
      <w:r>
        <w:rPr>
          <w:rFonts w:hint="eastAsia" w:ascii="仿宋" w:hAnsi="仿宋" w:eastAsia="仿宋" w:cs="仿宋"/>
          <w:sz w:val="28"/>
          <w:szCs w:val="28"/>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（5）质保期满后，成交供应商应提供终身维修，采购人只付零配件的费用，能长期提供良好的技术支持及零部件的优惠供应。</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（6）成交供应商负责按采购人要求与医院信息系统端口对接。所产生的一切费用均由成交供应商承担，采购人不再支付其它任何费用。</w:t>
      </w:r>
    </w:p>
    <w:p>
      <w:pPr>
        <w:tabs>
          <w:tab w:val="left" w:pos="1762"/>
        </w:tabs>
        <w:rPr>
          <w:rFonts w:hint="default" w:ascii="仿宋" w:hAnsi="仿宋" w:eastAsia="仿宋" w:cs="仿宋"/>
          <w:sz w:val="28"/>
          <w:szCs w:val="28"/>
          <w:lang w:val="en-US" w:eastAsia="zh-CN"/>
        </w:rPr>
      </w:pPr>
    </w:p>
    <w:p>
      <w:pPr>
        <w:pStyle w:val="17"/>
        <w:ind w:left="440" w:firstLine="480"/>
        <w:rPr>
          <w:rFonts w:hint="eastAsia" w:ascii="仿宋" w:hAnsi="仿宋" w:eastAsia="仿宋" w:cs="仿宋"/>
          <w:sz w:val="28"/>
          <w:szCs w:val="28"/>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6"/>
        <w:rPr>
          <w:rFonts w:hint="default" w:eastAsia="仿宋"/>
          <w:b/>
          <w:bCs/>
          <w:lang w:val="en-US" w:eastAsia="zh-CN"/>
        </w:rPr>
      </w:pPr>
    </w:p>
    <w:p>
      <w:pPr>
        <w:pStyle w:val="2"/>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3"/>
        <w:spacing w:before="0" w:after="0" w:line="460" w:lineRule="exact"/>
        <w:ind w:left="0" w:leftChars="0" w:firstLine="0" w:firstLineChars="0"/>
        <w:jc w:val="center"/>
        <w:rPr>
          <w:rFonts w:hint="eastAsia" w:ascii="仿宋" w:hAnsi="仿宋" w:eastAsia="仿宋" w:cs="仿宋"/>
          <w:color w:val="auto"/>
          <w:highlight w:val="none"/>
        </w:rPr>
      </w:pPr>
      <w:bookmarkStart w:id="23" w:name="_Toc919"/>
      <w:bookmarkStart w:id="24" w:name="_Toc5315"/>
    </w:p>
    <w:p>
      <w:pPr>
        <w:pStyle w:val="3"/>
        <w:spacing w:before="0" w:after="0" w:line="460" w:lineRule="exact"/>
        <w:ind w:left="0" w:leftChars="0" w:firstLine="0" w:firstLineChars="0"/>
        <w:jc w:val="center"/>
        <w:rPr>
          <w:rFonts w:hint="eastAsia" w:ascii="仿宋" w:hAnsi="仿宋" w:eastAsia="仿宋" w:cs="仿宋"/>
          <w:color w:val="auto"/>
          <w:highlight w:val="none"/>
        </w:rPr>
      </w:pPr>
    </w:p>
    <w:p>
      <w:pPr>
        <w:pStyle w:val="3"/>
        <w:spacing w:before="0" w:after="0" w:line="460" w:lineRule="exact"/>
        <w:ind w:left="0" w:leftChars="0" w:firstLine="0" w:firstLineChars="0"/>
        <w:jc w:val="both"/>
        <w:rPr>
          <w:rFonts w:hint="eastAsia" w:ascii="仿宋" w:hAnsi="仿宋" w:eastAsia="仿宋" w:cs="仿宋"/>
          <w:color w:val="auto"/>
          <w:highlight w:val="none"/>
        </w:rPr>
      </w:pPr>
    </w:p>
    <w:p>
      <w:pPr>
        <w:pStyle w:val="3"/>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3"/>
      <w:bookmarkEnd w:id="24"/>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3"/>
        <w:spacing w:before="0" w:after="0" w:line="460" w:lineRule="exact"/>
        <w:ind w:firstLine="0"/>
        <w:jc w:val="both"/>
        <w:rPr>
          <w:rFonts w:hint="eastAsia" w:ascii="仿宋" w:hAnsi="仿宋" w:eastAsia="仿宋" w:cs="仿宋"/>
          <w:color w:val="auto"/>
          <w:highlight w:val="none"/>
        </w:rPr>
      </w:pPr>
      <w:bookmarkStart w:id="25" w:name="_Toc19814"/>
      <w:bookmarkStart w:id="26" w:name="_Toc413396840"/>
      <w:bookmarkStart w:id="27" w:name="_Toc331493648"/>
      <w:bookmarkStart w:id="28" w:name="_Toc22759"/>
    </w:p>
    <w:p>
      <w:pPr>
        <w:rPr>
          <w:rFonts w:hint="eastAsia" w:ascii="仿宋" w:hAnsi="仿宋" w:eastAsia="仿宋" w:cs="仿宋"/>
          <w:color w:val="auto"/>
          <w:highlight w:val="none"/>
        </w:rPr>
      </w:pPr>
    </w:p>
    <w:bookmarkEnd w:id="25"/>
    <w:bookmarkEnd w:id="26"/>
    <w:bookmarkEnd w:id="27"/>
    <w:bookmarkEnd w:id="28"/>
    <w:p>
      <w:pPr>
        <w:pStyle w:val="3"/>
        <w:ind w:left="0" w:leftChars="0" w:firstLine="0" w:firstLineChars="0"/>
        <w:jc w:val="center"/>
        <w:rPr>
          <w:rFonts w:hint="eastAsia" w:ascii="仿宋" w:hAnsi="仿宋" w:eastAsia="仿宋" w:cs="仿宋"/>
          <w:color w:val="auto"/>
          <w:kern w:val="0"/>
          <w:highlight w:val="none"/>
        </w:rPr>
      </w:pPr>
      <w:bookmarkStart w:id="29" w:name="_Toc485736232"/>
      <w:bookmarkStart w:id="30" w:name="_Toc480191543"/>
      <w:bookmarkStart w:id="31" w:name="_Toc413396845"/>
      <w:bookmarkStart w:id="32" w:name="_Toc1161"/>
      <w:bookmarkStart w:id="33" w:name="_Toc331493653"/>
      <w:bookmarkStart w:id="34" w:name="_Toc6176"/>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9"/>
      <w:bookmarkEnd w:id="30"/>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5"/>
        <w:rPr>
          <w:rFonts w:hint="eastAsia" w:ascii="仿宋" w:hAnsi="仿宋" w:eastAsia="仿宋" w:cs="仿宋"/>
          <w:color w:val="auto"/>
          <w:highlight w:val="none"/>
        </w:rPr>
      </w:pPr>
    </w:p>
    <w:tbl>
      <w:tblPr>
        <w:tblStyle w:val="18"/>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3"/>
        <w:spacing w:before="0" w:after="0" w:line="460" w:lineRule="exact"/>
        <w:ind w:firstLine="0"/>
        <w:rPr>
          <w:rFonts w:hint="eastAsia" w:ascii="仿宋" w:hAnsi="仿宋" w:eastAsia="仿宋" w:cs="仿宋"/>
          <w:color w:val="auto"/>
          <w:highlight w:val="none"/>
        </w:rPr>
      </w:pPr>
    </w:p>
    <w:p>
      <w:pPr>
        <w:pStyle w:val="3"/>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
        <w:spacing w:before="0" w:after="0" w:line="460" w:lineRule="exact"/>
        <w:ind w:firstLine="0"/>
        <w:jc w:val="both"/>
        <w:rPr>
          <w:rFonts w:hint="eastAsia" w:ascii="仿宋" w:hAnsi="仿宋" w:eastAsia="仿宋" w:cs="仿宋"/>
          <w:color w:val="auto"/>
          <w:highlight w:val="none"/>
          <w:lang w:val="en-US" w:eastAsia="zh-CN"/>
        </w:rPr>
      </w:pPr>
    </w:p>
    <w:p>
      <w:pPr>
        <w:pStyle w:val="3"/>
        <w:spacing w:before="0" w:after="0" w:line="460" w:lineRule="exact"/>
        <w:ind w:firstLine="0"/>
        <w:jc w:val="both"/>
        <w:rPr>
          <w:rFonts w:hint="eastAsia" w:ascii="仿宋" w:hAnsi="仿宋" w:eastAsia="仿宋" w:cs="仿宋"/>
          <w:color w:val="auto"/>
          <w:highlight w:val="none"/>
          <w:lang w:val="en-US" w:eastAsia="zh-CN"/>
        </w:rPr>
      </w:pPr>
    </w:p>
    <w:p>
      <w:pPr>
        <w:pStyle w:val="3"/>
        <w:spacing w:before="0" w:after="0" w:line="460" w:lineRule="exact"/>
        <w:ind w:firstLine="0"/>
        <w:jc w:val="both"/>
        <w:rPr>
          <w:rFonts w:hint="eastAsia" w:ascii="仿宋" w:hAnsi="仿宋" w:eastAsia="仿宋" w:cs="仿宋"/>
          <w:color w:val="auto"/>
          <w:highlight w:val="none"/>
          <w:lang w:val="en-US" w:eastAsia="zh-CN"/>
        </w:rPr>
      </w:pPr>
    </w:p>
    <w:p>
      <w:pPr>
        <w:pStyle w:val="3"/>
        <w:spacing w:before="0" w:after="0" w:line="460" w:lineRule="exact"/>
        <w:ind w:firstLine="0"/>
        <w:jc w:val="both"/>
        <w:rPr>
          <w:rFonts w:hint="eastAsia" w:ascii="仿宋" w:hAnsi="仿宋" w:eastAsia="仿宋" w:cs="仿宋"/>
          <w:color w:val="auto"/>
          <w:highlight w:val="none"/>
          <w:lang w:val="en-US" w:eastAsia="zh-CN"/>
        </w:rPr>
      </w:pPr>
    </w:p>
    <w:bookmarkEnd w:id="31"/>
    <w:bookmarkEnd w:id="32"/>
    <w:bookmarkEnd w:id="33"/>
    <w:bookmarkEnd w:id="34"/>
    <w:p>
      <w:pPr>
        <w:pStyle w:val="3"/>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5" w:name="_Toc23201"/>
      <w:bookmarkStart w:id="36" w:name="_Toc7073"/>
      <w:bookmarkStart w:id="37" w:name="_Toc413396854"/>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35"/>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8"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8"/>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39" w:name="_Toc423337568"/>
      <w:bookmarkStart w:id="40" w:name="_Toc469749011"/>
      <w:bookmarkStart w:id="41" w:name="_Toc3874"/>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39"/>
      <w:bookmarkEnd w:id="40"/>
      <w:bookmarkEnd w:id="41"/>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42" w:name="_Toc423337570"/>
      <w:bookmarkStart w:id="43" w:name="_Toc23487"/>
      <w:bookmarkStart w:id="44" w:name="_Toc469749013"/>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42"/>
      <w:bookmarkEnd w:id="43"/>
      <w:bookmarkEnd w:id="44"/>
    </w:p>
    <w:p>
      <w:pPr>
        <w:spacing w:line="500" w:lineRule="exact"/>
        <w:ind w:firstLine="1250" w:firstLineChars="500"/>
        <w:rPr>
          <w:rFonts w:hint="eastAsia" w:ascii="宋体" w:hAnsi="宋体"/>
          <w:sz w:val="25"/>
          <w:szCs w:val="25"/>
          <w:highlight w:val="none"/>
        </w:rPr>
      </w:pPr>
      <w:bookmarkStart w:id="45" w:name="_Toc423337571"/>
      <w:bookmarkStart w:id="46" w:name="_Toc417890583"/>
      <w:bookmarkStart w:id="47"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5"/>
        <w:rPr>
          <w:rFonts w:hint="eastAsia"/>
          <w:highlight w:val="none"/>
        </w:rPr>
      </w:pPr>
    </w:p>
    <w:bookmarkEnd w:id="45"/>
    <w:bookmarkEnd w:id="46"/>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8" w:name="_Toc423357540"/>
      <w:bookmarkStart w:id="49" w:name="_Toc469749014"/>
      <w:bookmarkStart w:id="50" w:name="_Toc24750"/>
      <w:r>
        <w:rPr>
          <w:rFonts w:hint="eastAsia" w:ascii="Arial" w:hAnsi="Arial" w:eastAsia="黑体"/>
          <w:b/>
          <w:bCs/>
          <w:sz w:val="32"/>
          <w:szCs w:val="32"/>
          <w:highlight w:val="none"/>
        </w:rPr>
        <w:t>7</w:t>
      </w:r>
      <w:bookmarkEnd w:id="48"/>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9"/>
      <w:bookmarkEnd w:id="50"/>
      <w:r>
        <w:rPr>
          <w:rFonts w:ascii="Arial" w:hAnsi="Arial" w:eastAsia="黑体"/>
          <w:b/>
          <w:bCs/>
          <w:sz w:val="32"/>
          <w:szCs w:val="32"/>
          <w:highlight w:val="none"/>
        </w:rPr>
        <w:t xml:space="preserve"> </w:t>
      </w:r>
    </w:p>
    <w:bookmarkEnd w:id="47"/>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3"/>
        <w:rPr>
          <w:rFonts w:hint="eastAsia"/>
          <w:highlight w:val="none"/>
          <w:lang w:eastAsia="zh-CN"/>
        </w:rPr>
      </w:pPr>
      <w:bookmarkStart w:id="51" w:name="_Toc25526"/>
    </w:p>
    <w:p>
      <w:pPr>
        <w:pStyle w:val="3"/>
        <w:rPr>
          <w:rFonts w:hint="eastAsia"/>
          <w:highlight w:val="none"/>
        </w:rPr>
      </w:pPr>
      <w:bookmarkStart w:id="52" w:name="_Toc31359"/>
      <w:r>
        <w:rPr>
          <w:rFonts w:hint="eastAsia"/>
          <w:highlight w:val="none"/>
          <w:lang w:eastAsia="zh-CN"/>
        </w:rPr>
        <w:t>8.</w:t>
      </w:r>
      <w:r>
        <w:rPr>
          <w:rFonts w:hint="eastAsia"/>
          <w:highlight w:val="none"/>
        </w:rPr>
        <w:t>依法缴纳税收证明</w:t>
      </w:r>
      <w:bookmarkEnd w:id="51"/>
      <w:bookmarkEnd w:id="52"/>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ascii="宋体" w:hAnsi="宋体"/>
          <w:sz w:val="25"/>
          <w:szCs w:val="25"/>
          <w:highlight w:val="none"/>
        </w:rPr>
      </w:pPr>
    </w:p>
    <w:p>
      <w:pPr>
        <w:pStyle w:val="3"/>
        <w:rPr>
          <w:rFonts w:hint="eastAsia"/>
          <w:highlight w:val="none"/>
          <w:lang w:eastAsia="zh-CN"/>
        </w:rPr>
      </w:pPr>
      <w:bookmarkStart w:id="53" w:name="_Toc4678"/>
    </w:p>
    <w:p>
      <w:pPr>
        <w:pStyle w:val="3"/>
        <w:rPr>
          <w:rFonts w:hint="eastAsia"/>
          <w:highlight w:val="none"/>
        </w:rPr>
      </w:pPr>
      <w:bookmarkStart w:id="54" w:name="_Toc14430"/>
      <w:r>
        <w:rPr>
          <w:rFonts w:hint="eastAsia"/>
          <w:highlight w:val="none"/>
          <w:lang w:eastAsia="zh-CN"/>
        </w:rPr>
        <w:t>9.</w:t>
      </w:r>
      <w:r>
        <w:rPr>
          <w:rFonts w:hint="eastAsia"/>
          <w:highlight w:val="none"/>
        </w:rPr>
        <w:t>依法缴纳社会保障资金的相关材料</w:t>
      </w:r>
      <w:bookmarkEnd w:id="53"/>
      <w:bookmarkEnd w:id="54"/>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3"/>
        <w:rPr>
          <w:rFonts w:hint="eastAsia"/>
          <w:color w:val="auto"/>
          <w:highlight w:val="none"/>
        </w:rPr>
      </w:pPr>
      <w:bookmarkStart w:id="55" w:name="_Toc26349"/>
      <w:bookmarkStart w:id="56" w:name="_Toc3387"/>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5"/>
      <w:bookmarkEnd w:id="56"/>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7" w:name="_Toc225"/>
      <w:bookmarkStart w:id="58" w:name="_Toc4577"/>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7"/>
      <w:bookmarkEnd w:id="58"/>
    </w:p>
    <w:p>
      <w:pPr>
        <w:pStyle w:val="6"/>
        <w:rPr>
          <w:rFonts w:hint="eastAsia" w:ascii="宋体" w:hAnsi="宋体"/>
          <w:color w:val="auto"/>
          <w:sz w:val="27"/>
          <w:szCs w:val="27"/>
          <w:highlight w:val="none"/>
        </w:rPr>
      </w:pPr>
    </w:p>
    <w:p>
      <w:pPr>
        <w:pStyle w:val="6"/>
        <w:rPr>
          <w:rFonts w:hint="eastAsia" w:ascii="宋体" w:hAnsi="宋体"/>
          <w:color w:val="auto"/>
          <w:sz w:val="27"/>
          <w:szCs w:val="27"/>
          <w:highlight w:val="none"/>
        </w:rPr>
      </w:pPr>
    </w:p>
    <w:p>
      <w:pPr>
        <w:pStyle w:val="6"/>
        <w:rPr>
          <w:rFonts w:hint="eastAsia" w:ascii="宋体" w:hAnsi="宋体"/>
          <w:color w:val="auto"/>
          <w:sz w:val="27"/>
          <w:szCs w:val="27"/>
          <w:highlight w:val="none"/>
        </w:rPr>
      </w:pPr>
    </w:p>
    <w:p>
      <w:pPr>
        <w:pStyle w:val="6"/>
        <w:rPr>
          <w:rFonts w:hint="eastAsia" w:ascii="宋体" w:hAnsi="宋体"/>
          <w:color w:val="auto"/>
          <w:sz w:val="27"/>
          <w:szCs w:val="27"/>
          <w:highlight w:val="none"/>
        </w:rPr>
      </w:pPr>
    </w:p>
    <w:p>
      <w:pPr>
        <w:pStyle w:val="6"/>
        <w:rPr>
          <w:rFonts w:hint="eastAsia" w:ascii="宋体" w:hAnsi="宋体"/>
          <w:color w:val="auto"/>
          <w:sz w:val="27"/>
          <w:szCs w:val="27"/>
          <w:highlight w:val="none"/>
        </w:rPr>
      </w:pPr>
    </w:p>
    <w:p>
      <w:pPr>
        <w:pStyle w:val="6"/>
        <w:rPr>
          <w:rFonts w:hint="eastAsia" w:ascii="宋体" w:hAnsi="宋体"/>
          <w:color w:val="auto"/>
          <w:sz w:val="27"/>
          <w:szCs w:val="27"/>
          <w:highlight w:val="none"/>
        </w:rPr>
      </w:pPr>
    </w:p>
    <w:p>
      <w:pPr>
        <w:pStyle w:val="6"/>
        <w:rPr>
          <w:rFonts w:hint="eastAsia" w:ascii="宋体" w:hAnsi="宋体"/>
          <w:color w:val="auto"/>
          <w:sz w:val="27"/>
          <w:szCs w:val="27"/>
          <w:highlight w:val="none"/>
        </w:rPr>
      </w:pPr>
    </w:p>
    <w:p>
      <w:pPr>
        <w:pStyle w:val="6"/>
        <w:rPr>
          <w:rFonts w:hint="eastAsia" w:ascii="宋体" w:hAnsi="宋体"/>
          <w:color w:val="auto"/>
          <w:sz w:val="27"/>
          <w:szCs w:val="27"/>
          <w:highlight w:val="none"/>
        </w:rPr>
      </w:pPr>
    </w:p>
    <w:p>
      <w:pPr>
        <w:pStyle w:val="6"/>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9" w:name="_Toc423337575"/>
      <w:bookmarkStart w:id="60" w:name="_Toc469749018"/>
      <w:bookmarkStart w:id="61" w:name="_Toc11819"/>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59"/>
      <w:bookmarkEnd w:id="60"/>
      <w:bookmarkEnd w:id="61"/>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8"/>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62" w:name="_Toc423337576"/>
    </w:p>
    <w:p>
      <w:pPr>
        <w:pStyle w:val="3"/>
        <w:ind w:left="0" w:leftChars="0" w:firstLine="0" w:firstLineChars="0"/>
        <w:jc w:val="both"/>
        <w:rPr>
          <w:highlight w:val="none"/>
        </w:rPr>
      </w:pPr>
      <w:r>
        <w:rPr>
          <w:rFonts w:ascii="宋体" w:hAnsi="宋体"/>
          <w:sz w:val="25"/>
          <w:szCs w:val="25"/>
          <w:highlight w:val="none"/>
        </w:rPr>
        <w:br w:type="page"/>
      </w:r>
      <w:bookmarkStart w:id="63" w:name="_Toc469749019"/>
      <w:bookmarkStart w:id="64"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2"/>
      <w:bookmarkEnd w:id="63"/>
      <w:r>
        <w:rPr>
          <w:rFonts w:hint="eastAsia"/>
          <w:highlight w:val="none"/>
          <w:lang w:eastAsia="zh-CN"/>
        </w:rPr>
        <w:t>基本资格条件承诺函</w:t>
      </w:r>
      <w:r>
        <w:rPr>
          <w:rFonts w:hint="eastAsia"/>
          <w:highlight w:val="none"/>
        </w:rPr>
        <w:t>（格式）</w:t>
      </w:r>
      <w:bookmarkEnd w:id="64"/>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6"/>
    <w:bookmarkEnd w:id="37"/>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F6AA51FA"/>
    <w:multiLevelType w:val="singleLevel"/>
    <w:tmpl w:val="F6AA51FA"/>
    <w:lvl w:ilvl="0" w:tentative="0">
      <w:start w:val="4"/>
      <w:numFmt w:val="chineseCounting"/>
      <w:suff w:val="nothing"/>
      <w:lvlText w:val="%1、"/>
      <w:lvlJc w:val="left"/>
      <w:rPr>
        <w:rFonts w:hint="eastAsia"/>
      </w:rPr>
    </w:lvl>
  </w:abstractNum>
  <w:abstractNum w:abstractNumId="2">
    <w:nsid w:val="3EB3A585"/>
    <w:multiLevelType w:val="singleLevel"/>
    <w:tmpl w:val="3EB3A585"/>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TE1NmIwNTk3ZjY4YTJkNTkxMWVmZjIwODk0NmI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9A00A4"/>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0A94"/>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1407BA"/>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6949D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605F3"/>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3F07B61"/>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B21103"/>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4">
    <w:name w:val="heading 3"/>
    <w:basedOn w:val="1"/>
    <w:next w:val="1"/>
    <w:autoRedefine/>
    <w:semiHidden/>
    <w:unhideWhenUsed/>
    <w:qFormat/>
    <w:uiPriority w:val="0"/>
    <w:pPr>
      <w:jc w:val="left"/>
      <w:outlineLvl w:val="2"/>
    </w:pPr>
    <w:rPr>
      <w:rFonts w:hint="eastAsia" w:ascii="宋体" w:hAnsi="宋体"/>
      <w:b/>
      <w:kern w:val="0"/>
      <w:sz w:val="24"/>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spacing w:after="120"/>
    </w:pPr>
    <w:rPr>
      <w:rFonts w:ascii="Arial" w:hAnsi="Arial" w:eastAsia="楷体_GB2312"/>
      <w:b/>
      <w:lang w:eastAsia="en-US"/>
    </w:rPr>
  </w:style>
  <w:style w:type="paragraph" w:customStyle="1" w:styleId="6">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autoRedefine/>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autoRedefine/>
    <w:qFormat/>
    <w:uiPriority w:val="0"/>
    <w:rPr>
      <w:rFonts w:ascii="宋体" w:hAnsi="Courier New" w:cs="Verdana"/>
      <w:b/>
      <w:szCs w:val="20"/>
    </w:rPr>
  </w:style>
  <w:style w:type="paragraph" w:styleId="10">
    <w:name w:val="Body Text Indent 2"/>
    <w:basedOn w:val="1"/>
    <w:autoRedefine/>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pPr>
      <w:tabs>
        <w:tab w:val="right" w:leader="dot" w:pos="9514"/>
      </w:tabs>
      <w:spacing w:line="360" w:lineRule="auto"/>
      <w:ind w:left="-360" w:leftChars="-257" w:hanging="180" w:hangingChars="50"/>
    </w:pPr>
  </w:style>
  <w:style w:type="paragraph" w:styleId="14">
    <w:name w:val="toc 2"/>
    <w:basedOn w:val="1"/>
    <w:next w:val="1"/>
    <w:autoRedefine/>
    <w:qFormat/>
    <w:uiPriority w:val="0"/>
    <w:pPr>
      <w:ind w:left="210"/>
      <w:jc w:val="left"/>
    </w:pPr>
    <w:rPr>
      <w:smallCaps/>
      <w:szCs w:val="20"/>
    </w:rPr>
  </w:style>
  <w:style w:type="paragraph" w:styleId="15">
    <w:name w:val="Normal (Web)"/>
    <w:basedOn w:val="1"/>
    <w:autoRedefine/>
    <w:qFormat/>
    <w:uiPriority w:val="0"/>
    <w:rPr>
      <w:sz w:val="24"/>
    </w:rPr>
  </w:style>
  <w:style w:type="paragraph" w:styleId="16">
    <w:name w:val="Title"/>
    <w:basedOn w:val="1"/>
    <w:next w:val="1"/>
    <w:autoRedefine/>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paragraph" w:styleId="17">
    <w:name w:val="Body Text First Indent 2"/>
    <w:basedOn w:val="7"/>
    <w:autoRedefine/>
    <w:unhideWhenUsed/>
    <w:qFormat/>
    <w:uiPriority w:val="0"/>
    <w:pPr>
      <w:autoSpaceDE/>
      <w:autoSpaceDN/>
      <w:ind w:firstLine="420" w:firstLineChars="200"/>
      <w:jc w:val="both"/>
    </w:pPr>
    <w:rPr>
      <w:rFonts w:cs="Times New Roman"/>
      <w:kern w:val="2"/>
      <w:sz w:val="24"/>
      <w:szCs w:val="24"/>
      <w:lang w:val="en-US" w:bidi="ar-SA"/>
    </w:rPr>
  </w:style>
  <w:style w:type="table" w:styleId="19">
    <w:name w:val="Table Grid"/>
    <w:basedOn w:val="18"/>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Strong"/>
    <w:basedOn w:val="20"/>
    <w:autoRedefine/>
    <w:qFormat/>
    <w:uiPriority w:val="0"/>
    <w:rPr>
      <w:b/>
      <w:sz w:val="24"/>
      <w:szCs w:val="24"/>
    </w:rPr>
  </w:style>
  <w:style w:type="character" w:styleId="22">
    <w:name w:val="page number"/>
    <w:basedOn w:val="20"/>
    <w:autoRedefine/>
    <w:qFormat/>
    <w:uiPriority w:val="0"/>
  </w:style>
  <w:style w:type="character" w:styleId="23">
    <w:name w:val="FollowedHyperlink"/>
    <w:basedOn w:val="20"/>
    <w:autoRedefine/>
    <w:qFormat/>
    <w:uiPriority w:val="0"/>
    <w:rPr>
      <w:color w:val="800080"/>
      <w:u w:val="none"/>
    </w:rPr>
  </w:style>
  <w:style w:type="character" w:styleId="24">
    <w:name w:val="Emphasis"/>
    <w:basedOn w:val="20"/>
    <w:qFormat/>
    <w:uiPriority w:val="0"/>
    <w:rPr>
      <w:b/>
      <w:bdr w:val="single" w:color="D6D6D6" w:sz="6" w:space="0"/>
      <w:shd w:val="clear" w:color="auto" w:fill="F9F9F9"/>
    </w:rPr>
  </w:style>
  <w:style w:type="character" w:styleId="25">
    <w:name w:val="HTML Definition"/>
    <w:basedOn w:val="20"/>
    <w:autoRedefine/>
    <w:qFormat/>
    <w:uiPriority w:val="0"/>
    <w:rPr>
      <w:color w:val="FFFFFF"/>
      <w:shd w:val="clear" w:color="auto" w:fill="048FD2"/>
    </w:rPr>
  </w:style>
  <w:style w:type="character" w:styleId="26">
    <w:name w:val="HTML Typewriter"/>
    <w:basedOn w:val="20"/>
    <w:qFormat/>
    <w:uiPriority w:val="0"/>
    <w:rPr>
      <w:rFonts w:hint="default" w:ascii="monospace" w:hAnsi="monospace" w:eastAsia="monospace" w:cs="monospace"/>
      <w:sz w:val="20"/>
    </w:rPr>
  </w:style>
  <w:style w:type="character" w:styleId="27">
    <w:name w:val="HTML Acronym"/>
    <w:basedOn w:val="20"/>
    <w:autoRedefine/>
    <w:qFormat/>
    <w:uiPriority w:val="0"/>
  </w:style>
  <w:style w:type="character" w:styleId="28">
    <w:name w:val="HTML Variable"/>
    <w:basedOn w:val="20"/>
    <w:autoRedefine/>
    <w:qFormat/>
    <w:uiPriority w:val="0"/>
  </w:style>
  <w:style w:type="character" w:styleId="29">
    <w:name w:val="Hyperlink"/>
    <w:basedOn w:val="20"/>
    <w:autoRedefine/>
    <w:qFormat/>
    <w:uiPriority w:val="0"/>
    <w:rPr>
      <w:color w:val="0000FF"/>
      <w:u w:val="none"/>
    </w:rPr>
  </w:style>
  <w:style w:type="character" w:styleId="30">
    <w:name w:val="HTML Code"/>
    <w:basedOn w:val="20"/>
    <w:autoRedefine/>
    <w:qFormat/>
    <w:uiPriority w:val="0"/>
    <w:rPr>
      <w:rFonts w:hint="default" w:ascii="monospace" w:hAnsi="monospace" w:eastAsia="monospace" w:cs="monospace"/>
      <w:sz w:val="20"/>
    </w:rPr>
  </w:style>
  <w:style w:type="character" w:styleId="31">
    <w:name w:val="HTML Cite"/>
    <w:basedOn w:val="20"/>
    <w:autoRedefine/>
    <w:qFormat/>
    <w:uiPriority w:val="0"/>
  </w:style>
  <w:style w:type="character" w:styleId="32">
    <w:name w:val="HTML Keyboard"/>
    <w:basedOn w:val="20"/>
    <w:qFormat/>
    <w:uiPriority w:val="0"/>
    <w:rPr>
      <w:rFonts w:hint="default" w:ascii="monospace" w:hAnsi="monospace" w:eastAsia="monospace" w:cs="monospace"/>
      <w:sz w:val="20"/>
    </w:rPr>
  </w:style>
  <w:style w:type="character" w:styleId="33">
    <w:name w:val="HTML Sample"/>
    <w:basedOn w:val="20"/>
    <w:autoRedefine/>
    <w:qFormat/>
    <w:uiPriority w:val="0"/>
    <w:rPr>
      <w:rFonts w:ascii="monospace" w:hAnsi="monospace" w:eastAsia="monospace" w:cs="monospace"/>
    </w:rPr>
  </w:style>
  <w:style w:type="character" w:customStyle="1" w:styleId="34">
    <w:name w:val="font31"/>
    <w:basedOn w:val="20"/>
    <w:autoRedefine/>
    <w:qFormat/>
    <w:uiPriority w:val="0"/>
    <w:rPr>
      <w:rFonts w:hint="eastAsia" w:ascii="宋体" w:hAnsi="宋体" w:eastAsia="宋体" w:cs="宋体"/>
      <w:color w:val="000000"/>
      <w:sz w:val="20"/>
      <w:szCs w:val="20"/>
      <w:u w:val="none"/>
    </w:rPr>
  </w:style>
  <w:style w:type="character" w:customStyle="1" w:styleId="35">
    <w:name w:val="font01"/>
    <w:basedOn w:val="20"/>
    <w:autoRedefine/>
    <w:qFormat/>
    <w:uiPriority w:val="0"/>
    <w:rPr>
      <w:rFonts w:hint="eastAsia" w:ascii="宋体" w:hAnsi="宋体" w:eastAsia="宋体" w:cs="宋体"/>
      <w:color w:val="000000"/>
      <w:sz w:val="20"/>
      <w:szCs w:val="20"/>
      <w:u w:val="none"/>
      <w:vertAlign w:val="superscript"/>
    </w:rPr>
  </w:style>
  <w:style w:type="paragraph" w:customStyle="1" w:styleId="36">
    <w:name w:val="监标题3"/>
    <w:basedOn w:val="1"/>
    <w:autoRedefine/>
    <w:qFormat/>
    <w:uiPriority w:val="0"/>
    <w:pPr>
      <w:spacing w:line="560" w:lineRule="exact"/>
      <w:jc w:val="center"/>
    </w:pPr>
    <w:rPr>
      <w:rFonts w:ascii="宋体" w:hAnsi="宋体"/>
      <w:b/>
      <w:color w:val="000000"/>
      <w:sz w:val="28"/>
      <w:szCs w:val="20"/>
    </w:rPr>
  </w:style>
  <w:style w:type="character" w:customStyle="1" w:styleId="37">
    <w:name w:val="font11"/>
    <w:basedOn w:val="20"/>
    <w:autoRedefine/>
    <w:qFormat/>
    <w:uiPriority w:val="0"/>
    <w:rPr>
      <w:rFonts w:hint="eastAsia" w:ascii="宋体" w:hAnsi="宋体" w:eastAsia="宋体" w:cs="宋体"/>
      <w:color w:val="000000"/>
      <w:sz w:val="22"/>
      <w:szCs w:val="22"/>
      <w:u w:val="none"/>
    </w:rPr>
  </w:style>
  <w:style w:type="paragraph" w:customStyle="1" w:styleId="38">
    <w:name w:val="列出段落1"/>
    <w:basedOn w:val="1"/>
    <w:autoRedefine/>
    <w:qFormat/>
    <w:uiPriority w:val="34"/>
    <w:pPr>
      <w:ind w:firstLine="420" w:firstLineChars="200"/>
    </w:pPr>
  </w:style>
  <w:style w:type="character" w:customStyle="1" w:styleId="39">
    <w:name w:val="font21"/>
    <w:basedOn w:val="20"/>
    <w:autoRedefine/>
    <w:qFormat/>
    <w:uiPriority w:val="0"/>
    <w:rPr>
      <w:rFonts w:hint="eastAsia" w:ascii="宋体" w:hAnsi="宋体" w:eastAsia="宋体" w:cs="宋体"/>
      <w:color w:val="000000"/>
      <w:sz w:val="20"/>
      <w:szCs w:val="20"/>
      <w:u w:val="none"/>
      <w:vertAlign w:val="superscript"/>
    </w:rPr>
  </w:style>
  <w:style w:type="character" w:customStyle="1" w:styleId="40">
    <w:name w:val="font111"/>
    <w:basedOn w:val="20"/>
    <w:autoRedefine/>
    <w:qFormat/>
    <w:uiPriority w:val="0"/>
    <w:rPr>
      <w:rFonts w:hint="eastAsia" w:ascii="宋体" w:hAnsi="宋体" w:eastAsia="宋体" w:cs="宋体"/>
      <w:color w:val="000000"/>
      <w:sz w:val="20"/>
      <w:szCs w:val="20"/>
      <w:u w:val="none"/>
      <w:vertAlign w:val="superscript"/>
    </w:rPr>
  </w:style>
  <w:style w:type="paragraph" w:styleId="41">
    <w:name w:val="List Paragraph"/>
    <w:basedOn w:val="1"/>
    <w:autoRedefine/>
    <w:qFormat/>
    <w:uiPriority w:val="34"/>
    <w:pPr>
      <w:ind w:firstLine="420"/>
    </w:pPr>
  </w:style>
  <w:style w:type="character" w:customStyle="1" w:styleId="42">
    <w:name w:val="NormalCharacter"/>
    <w:autoRedefine/>
    <w:qFormat/>
    <w:uiPriority w:val="0"/>
    <w:rPr>
      <w:sz w:val="20"/>
    </w:rPr>
  </w:style>
  <w:style w:type="table" w:customStyle="1" w:styleId="43">
    <w:name w:val="网格型1"/>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35</Pages>
  <Words>9969</Words>
  <Characters>10687</Characters>
  <Lines>111</Lines>
  <Paragraphs>31</Paragraphs>
  <TotalTime>3</TotalTime>
  <ScaleCrop>false</ScaleCrop>
  <LinksUpToDate>false</LinksUpToDate>
  <CharactersWithSpaces>13234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2024-04-01T07:17:25Z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9757BC6343A446379646FE5D8119DCC1</vt:lpwstr>
  </property>
</Properties>
</file>