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无线AP授权</w:t>
      </w:r>
      <w:r>
        <w:rPr>
          <w:rFonts w:hint="eastAsia" w:ascii="仿宋" w:hAnsi="仿宋" w:eastAsia="仿宋" w:cs="仿宋"/>
          <w:b/>
          <w:bCs/>
          <w:sz w:val="48"/>
          <w:szCs w:val="48"/>
          <w:lang w:val="en-US" w:eastAsia="zh-CN"/>
        </w:rPr>
        <w:t>项目</w:t>
      </w:r>
    </w:p>
    <w:p>
      <w:pPr>
        <w:pStyle w:val="11"/>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1"/>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4"/>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5"/>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5"/>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4"/>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4"/>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5"/>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5"/>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5"/>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5"/>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4"/>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3"/>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6"/>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3"/>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4"/>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ind w:firstLine="560" w:firstLineChars="20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赣州市肿瘤医院对无线AP授权项目进行竞争性谈判，现欢迎符合资格条件的供应商前来参加。</w:t>
      </w:r>
      <w:r>
        <w:rPr>
          <w:rFonts w:hint="eastAsia" w:ascii="仿宋" w:hAnsi="仿宋" w:eastAsia="仿宋" w:cs="仿宋"/>
          <w:i w:val="0"/>
          <w:iCs w:val="0"/>
          <w:caps w:val="0"/>
          <w:color w:val="auto"/>
          <w:spacing w:val="0"/>
          <w:kern w:val="0"/>
          <w:sz w:val="28"/>
          <w:szCs w:val="28"/>
          <w:lang w:val="en-US" w:eastAsia="zh-CN" w:bidi="ar"/>
        </w:rPr>
        <w:br w:type="textWrapping"/>
      </w:r>
      <w:r>
        <w:rPr>
          <w:rStyle w:val="21"/>
          <w:rFonts w:hint="eastAsia" w:ascii="仿宋" w:hAnsi="仿宋" w:eastAsia="仿宋" w:cs="仿宋"/>
          <w:b/>
          <w:bCs/>
          <w:i w:val="0"/>
          <w:iCs w:val="0"/>
          <w:caps w:val="0"/>
          <w:color w:val="auto"/>
          <w:spacing w:val="0"/>
          <w:kern w:val="0"/>
          <w:sz w:val="28"/>
          <w:szCs w:val="28"/>
          <w:lang w:val="en-US" w:eastAsia="zh-CN" w:bidi="ar"/>
        </w:rPr>
        <w:t>一、项目编号：XX2023-0922</w:t>
      </w:r>
      <w:r>
        <w:rPr>
          <w:rFonts w:hint="eastAsia" w:ascii="仿宋" w:hAnsi="仿宋" w:eastAsia="仿宋" w:cs="仿宋"/>
          <w:i w:val="0"/>
          <w:iCs w:val="0"/>
          <w:caps w:val="0"/>
          <w:color w:val="auto"/>
          <w:spacing w:val="0"/>
          <w:kern w:val="0"/>
          <w:sz w:val="28"/>
          <w:szCs w:val="28"/>
          <w:lang w:val="en-US" w:eastAsia="zh-CN" w:bidi="ar"/>
        </w:rPr>
        <w:br w:type="textWrapping"/>
      </w:r>
      <w:r>
        <w:rPr>
          <w:rStyle w:val="21"/>
          <w:rFonts w:hint="eastAsia" w:ascii="仿宋" w:hAnsi="仿宋" w:eastAsia="仿宋" w:cs="仿宋"/>
          <w:b/>
          <w:bCs/>
          <w:i w:val="0"/>
          <w:iCs w:val="0"/>
          <w:caps w:val="0"/>
          <w:color w:val="auto"/>
          <w:spacing w:val="0"/>
          <w:kern w:val="0"/>
          <w:sz w:val="28"/>
          <w:szCs w:val="28"/>
          <w:lang w:val="en-US" w:eastAsia="zh-CN" w:bidi="ar"/>
        </w:rPr>
        <w:t>二、采购方式：竞争性谈判</w:t>
      </w:r>
      <w:r>
        <w:rPr>
          <w:rFonts w:hint="eastAsia" w:ascii="仿宋" w:hAnsi="仿宋" w:eastAsia="仿宋" w:cs="仿宋"/>
          <w:i w:val="0"/>
          <w:iCs w:val="0"/>
          <w:caps w:val="0"/>
          <w:color w:val="auto"/>
          <w:spacing w:val="0"/>
          <w:kern w:val="0"/>
          <w:sz w:val="28"/>
          <w:szCs w:val="28"/>
          <w:lang w:val="en-US" w:eastAsia="zh-CN" w:bidi="ar"/>
        </w:rPr>
        <w:br w:type="textWrapping"/>
      </w:r>
      <w:r>
        <w:rPr>
          <w:rStyle w:val="21"/>
          <w:rFonts w:hint="eastAsia" w:ascii="仿宋" w:hAnsi="仿宋" w:eastAsia="仿宋" w:cs="仿宋"/>
          <w:b/>
          <w:bCs/>
          <w:i w:val="0"/>
          <w:iCs w:val="0"/>
          <w:caps w:val="0"/>
          <w:color w:val="auto"/>
          <w:spacing w:val="0"/>
          <w:kern w:val="0"/>
          <w:sz w:val="28"/>
          <w:szCs w:val="28"/>
          <w:lang w:val="en-US" w:eastAsia="zh-CN" w:bidi="ar"/>
        </w:rPr>
        <w:t>三、采购内容：</w:t>
      </w:r>
    </w:p>
    <w:tbl>
      <w:tblPr>
        <w:tblStyle w:val="18"/>
        <w:tblW w:w="6495"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1830"/>
        <w:gridCol w:w="1185"/>
        <w:gridCol w:w="1200"/>
        <w:gridCol w:w="1515"/>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76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序号</w:t>
            </w:r>
          </w:p>
        </w:tc>
        <w:tc>
          <w:tcPr>
            <w:tcW w:w="183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项目名称</w:t>
            </w:r>
          </w:p>
        </w:tc>
        <w:tc>
          <w:tcPr>
            <w:tcW w:w="11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数量</w:t>
            </w:r>
          </w:p>
        </w:tc>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单位</w:t>
            </w:r>
          </w:p>
        </w:tc>
        <w:tc>
          <w:tcPr>
            <w:tcW w:w="15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预算金额（元）</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76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w:t>
            </w:r>
          </w:p>
        </w:tc>
        <w:tc>
          <w:tcPr>
            <w:tcW w:w="183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无线AP授权</w:t>
            </w:r>
          </w:p>
        </w:tc>
        <w:tc>
          <w:tcPr>
            <w:tcW w:w="11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lang w:val="en-US"/>
              </w:rPr>
            </w:pPr>
            <w:r>
              <w:rPr>
                <w:rFonts w:hint="eastAsia" w:ascii="仿宋" w:hAnsi="仿宋" w:eastAsia="仿宋" w:cs="仿宋"/>
                <w:i w:val="0"/>
                <w:iCs w:val="0"/>
                <w:caps w:val="0"/>
                <w:color w:val="auto"/>
                <w:spacing w:val="0"/>
                <w:kern w:val="0"/>
                <w:sz w:val="28"/>
                <w:szCs w:val="28"/>
                <w:lang w:val="en-US" w:eastAsia="zh-CN" w:bidi="ar"/>
              </w:rPr>
              <w:t>200</w:t>
            </w:r>
          </w:p>
        </w:tc>
        <w:tc>
          <w:tcPr>
            <w:tcW w:w="12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lang w:val="en-US" w:eastAsia="zh-CN"/>
              </w:rPr>
            </w:pPr>
            <w:r>
              <w:rPr>
                <w:rFonts w:hint="eastAsia" w:ascii="仿宋" w:hAnsi="仿宋" w:eastAsia="仿宋" w:cs="仿宋"/>
                <w:i w:val="0"/>
                <w:iCs w:val="0"/>
                <w:caps w:val="0"/>
                <w:color w:val="auto"/>
                <w:spacing w:val="0"/>
                <w:sz w:val="28"/>
                <w:szCs w:val="28"/>
                <w:lang w:val="en-US" w:eastAsia="zh-CN"/>
              </w:rPr>
              <w:t>个</w:t>
            </w:r>
          </w:p>
        </w:tc>
        <w:tc>
          <w:tcPr>
            <w:tcW w:w="151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38000.00</w:t>
            </w:r>
          </w:p>
        </w:tc>
      </w:tr>
    </w:tbl>
    <w:p>
      <w:pPr>
        <w:keepNext w:val="0"/>
        <w:keepLines w:val="0"/>
        <w:widowControl/>
        <w:numPr>
          <w:ilvl w:val="0"/>
          <w:numId w:val="2"/>
        </w:numPr>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Style w:val="21"/>
          <w:rFonts w:hint="eastAsia" w:ascii="仿宋" w:hAnsi="仿宋" w:eastAsia="仿宋" w:cs="仿宋"/>
          <w:b/>
          <w:bCs/>
          <w:i w:val="0"/>
          <w:iCs w:val="0"/>
          <w:caps w:val="0"/>
          <w:color w:val="auto"/>
          <w:spacing w:val="0"/>
          <w:kern w:val="0"/>
          <w:sz w:val="28"/>
          <w:szCs w:val="28"/>
          <w:lang w:val="en-US" w:eastAsia="zh-CN" w:bidi="ar"/>
        </w:rPr>
        <w:t>主要技术需求及商务需求</w:t>
      </w:r>
    </w:p>
    <w:p>
      <w:pPr>
        <w:keepNext w:val="0"/>
        <w:keepLines w:val="0"/>
        <w:widowControl/>
        <w:numPr>
          <w:ilvl w:val="0"/>
          <w:numId w:val="3"/>
        </w:numPr>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主要技术需求</w:t>
      </w:r>
    </w:p>
    <w:p>
      <w:pPr>
        <w:numPr>
          <w:ilvl w:val="0"/>
          <w:numId w:val="0"/>
        </w:numPr>
        <w:ind w:firstLine="560" w:firstLineChars="200"/>
        <w:jc w:val="left"/>
        <w:rPr>
          <w:rFonts w:hint="eastAsia" w:ascii="仿宋" w:hAnsi="仿宋" w:eastAsia="仿宋" w:cs="仿宋"/>
          <w:color w:val="auto"/>
          <w:sz w:val="28"/>
          <w:szCs w:val="28"/>
          <w:vertAlign w:val="baseline"/>
        </w:rPr>
      </w:pPr>
      <w:r>
        <w:rPr>
          <w:rFonts w:hint="eastAsia" w:ascii="仿宋" w:hAnsi="仿宋" w:eastAsia="仿宋" w:cs="仿宋"/>
          <w:color w:val="auto"/>
          <w:sz w:val="28"/>
          <w:szCs w:val="28"/>
          <w:vertAlign w:val="baseline"/>
        </w:rPr>
        <w:t>兼容现网AirEngine9700-M1无线接入控制器，提供无线接入控制器AP资源授权数</w:t>
      </w:r>
      <w:r>
        <w:rPr>
          <w:rFonts w:hint="eastAsia" w:ascii="仿宋" w:hAnsi="仿宋" w:eastAsia="仿宋" w:cs="仿宋"/>
          <w:color w:val="auto"/>
          <w:sz w:val="28"/>
          <w:szCs w:val="28"/>
          <w:vertAlign w:val="baseline"/>
          <w:lang w:eastAsia="zh-CN"/>
        </w:rPr>
        <w:t>，</w:t>
      </w:r>
      <w:r>
        <w:rPr>
          <w:rFonts w:hint="eastAsia" w:ascii="仿宋" w:hAnsi="仿宋" w:eastAsia="仿宋" w:cs="仿宋"/>
          <w:color w:val="auto"/>
          <w:sz w:val="28"/>
          <w:szCs w:val="28"/>
          <w:vertAlign w:val="baseline"/>
          <w:lang w:val="en-US" w:eastAsia="zh-CN"/>
        </w:rPr>
        <w:t>支持多种型号的无线AP型号，包括但不限于吸顶、壁装AP等。可在医院现有无线管理器上无缝扩容，无需增加任何硬件设备</w:t>
      </w:r>
      <w:r>
        <w:rPr>
          <w:rFonts w:hint="eastAsia" w:ascii="仿宋" w:hAnsi="仿宋" w:eastAsia="仿宋" w:cs="仿宋"/>
          <w:color w:val="auto"/>
          <w:sz w:val="28"/>
          <w:szCs w:val="28"/>
          <w:vertAlign w:val="baseline"/>
        </w:rPr>
        <w:t>。</w:t>
      </w:r>
    </w:p>
    <w:p>
      <w:pPr>
        <w:pStyle w:val="2"/>
        <w:numPr>
          <w:ilvl w:val="0"/>
          <w:numId w:val="3"/>
        </w:numPr>
        <w:ind w:left="0" w:leftChars="0" w:firstLine="0" w:firstLineChars="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主要商务需求</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1、投标人所投产品必须是本国产品，本项目不接受所投产品为进口产品的投标。</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2、投标人不得将本项目中的内容拆散来投标，不接受联合体投标。</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3、本招标文件提出的是最低限度的要求，投标供应商的方案应达到或优于本招标文件要求，且符合国家有关标准和规范要求。</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4、完工期：合同签订生效后30个工作日内完成供货、部署、测试调试及投入使用工作，与其他系统对接不收取任何费用。</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5、售后服务：投标人需提供终身售后服务，若出现异常或故障时，问题响应时间：远程立刻响应，如远程解决不了的4小时内上门提供服务，并在24小时内解决问题，提供免费维护期为三年，维护期内所有服务产生的费用均不再收取。</w:t>
      </w:r>
    </w:p>
    <w:p>
      <w:pPr>
        <w:pStyle w:val="2"/>
        <w:numPr>
          <w:ilvl w:val="0"/>
          <w:numId w:val="0"/>
        </w:numPr>
        <w:ind w:leftChars="0"/>
        <w:rPr>
          <w:rFonts w:hint="eastAsia" w:ascii="仿宋" w:hAnsi="仿宋" w:eastAsia="仿宋" w:cs="仿宋"/>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6、实施地点：赣州市肿瘤医院。</w:t>
      </w:r>
    </w:p>
    <w:p>
      <w:pPr>
        <w:keepNext w:val="0"/>
        <w:keepLines w:val="0"/>
        <w:widowControl/>
        <w:numPr>
          <w:ilvl w:val="0"/>
          <w:numId w:val="0"/>
        </w:numPr>
        <w:suppressLineNumbers w:val="0"/>
        <w:jc w:val="left"/>
        <w:rPr>
          <w:rStyle w:val="21"/>
          <w:rFonts w:hint="eastAsia" w:ascii="仿宋" w:hAnsi="仿宋" w:eastAsia="仿宋" w:cs="仿宋"/>
          <w:b/>
          <w:bCs/>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五、</w:t>
      </w:r>
      <w:r>
        <w:rPr>
          <w:rStyle w:val="21"/>
          <w:rFonts w:hint="eastAsia" w:ascii="仿宋" w:hAnsi="仿宋" w:eastAsia="仿宋" w:cs="仿宋"/>
          <w:b/>
          <w:bCs/>
          <w:i w:val="0"/>
          <w:iCs w:val="0"/>
          <w:caps w:val="0"/>
          <w:color w:val="auto"/>
          <w:spacing w:val="0"/>
          <w:kern w:val="0"/>
          <w:sz w:val="28"/>
          <w:szCs w:val="28"/>
          <w:lang w:val="en-US" w:eastAsia="zh-CN" w:bidi="ar"/>
        </w:rPr>
        <w:t>谈判方式：</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r>
        <w:rPr>
          <w:rFonts w:hint="eastAsia" w:ascii="仿宋" w:hAnsi="仿宋" w:eastAsia="仿宋" w:cs="仿宋"/>
          <w:i w:val="0"/>
          <w:iCs w:val="0"/>
          <w:caps w:val="0"/>
          <w:color w:val="auto"/>
          <w:spacing w:val="0"/>
          <w:kern w:val="0"/>
          <w:sz w:val="28"/>
          <w:szCs w:val="28"/>
          <w:lang w:val="en-US" w:eastAsia="zh-CN" w:bidi="ar"/>
        </w:rPr>
        <w:br w:type="textWrapping"/>
      </w:r>
      <w:r>
        <w:rPr>
          <w:rStyle w:val="21"/>
          <w:rFonts w:hint="eastAsia" w:ascii="仿宋" w:hAnsi="仿宋" w:eastAsia="仿宋" w:cs="仿宋"/>
          <w:b/>
          <w:bCs/>
          <w:i w:val="0"/>
          <w:iCs w:val="0"/>
          <w:caps w:val="0"/>
          <w:color w:val="auto"/>
          <w:spacing w:val="0"/>
          <w:kern w:val="0"/>
          <w:sz w:val="28"/>
          <w:szCs w:val="28"/>
          <w:lang w:val="en-US" w:eastAsia="zh-CN" w:bidi="ar"/>
        </w:rPr>
        <w:t>六、响应供应商的资格要求：</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1、具有独立承担民事责任的能力；</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2、具有履行合同所必需的设备和专业技术能力；</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3、有依法缴纳税收和社会保障资金的良好记录；</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4、参加采购活动前三年内，在经营活动中没有重大违法记录；</w:t>
      </w:r>
      <w:r>
        <w:rPr>
          <w:rFonts w:hint="eastAsia" w:ascii="仿宋" w:hAnsi="仿宋" w:eastAsia="仿宋" w:cs="仿宋"/>
          <w:i w:val="0"/>
          <w:iCs w:val="0"/>
          <w:caps w:val="0"/>
          <w:color w:val="auto"/>
          <w:spacing w:val="0"/>
          <w:kern w:val="0"/>
          <w:sz w:val="28"/>
          <w:szCs w:val="28"/>
          <w:lang w:val="en-US" w:eastAsia="zh-CN" w:bidi="ar"/>
        </w:rPr>
        <w:br w:type="textWrapping"/>
      </w:r>
      <w:r>
        <w:rPr>
          <w:rStyle w:val="21"/>
          <w:rFonts w:hint="eastAsia" w:ascii="仿宋" w:hAnsi="仿宋" w:eastAsia="仿宋" w:cs="仿宋"/>
          <w:b/>
          <w:bCs/>
          <w:i w:val="0"/>
          <w:iCs w:val="0"/>
          <w:caps w:val="0"/>
          <w:color w:val="auto"/>
          <w:spacing w:val="0"/>
          <w:kern w:val="0"/>
          <w:sz w:val="28"/>
          <w:szCs w:val="28"/>
          <w:lang w:val="en-US" w:eastAsia="zh-CN" w:bidi="ar"/>
        </w:rPr>
        <w:t>七、报名时间、报名方式：</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本次竞争性谈判活动采用邮箱报名，不需要到现场报名，供应商须将报名表、营业执照扫描件于2023年9月25日下午17:00之前发送到到电子邮箱gzszlyycgb@126.com。如有疑问，请拨打电话0797-8105097 晏女士,13970767574 王先生 。</w:t>
      </w:r>
      <w:r>
        <w:rPr>
          <w:rFonts w:hint="eastAsia" w:ascii="仿宋" w:hAnsi="仿宋" w:eastAsia="仿宋" w:cs="仿宋"/>
          <w:i w:val="0"/>
          <w:iCs w:val="0"/>
          <w:caps w:val="0"/>
          <w:color w:val="auto"/>
          <w:spacing w:val="0"/>
          <w:kern w:val="0"/>
          <w:sz w:val="28"/>
          <w:szCs w:val="28"/>
          <w:lang w:val="en-US" w:eastAsia="zh-CN" w:bidi="ar"/>
        </w:rPr>
        <w:br w:type="textWrapping"/>
      </w:r>
      <w:r>
        <w:rPr>
          <w:rStyle w:val="21"/>
          <w:rFonts w:hint="eastAsia" w:ascii="仿宋" w:hAnsi="仿宋" w:eastAsia="仿宋" w:cs="仿宋"/>
          <w:b/>
          <w:bCs/>
          <w:i w:val="0"/>
          <w:iCs w:val="0"/>
          <w:caps w:val="0"/>
          <w:color w:val="auto"/>
          <w:spacing w:val="0"/>
          <w:kern w:val="0"/>
          <w:sz w:val="28"/>
          <w:szCs w:val="28"/>
          <w:lang w:val="en-US" w:eastAsia="zh-CN" w:bidi="ar"/>
        </w:rPr>
        <w:t>八、响应截止时间和谈判时间：</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现场响应截止时间：2023年9月26日（星期二）上午9：00。</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现场谈判地点：老门诊楼四楼402会议室。</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w:t>
      </w:r>
      <w:r>
        <w:rPr>
          <w:rFonts w:hint="eastAsia" w:ascii="仿宋" w:hAnsi="仿宋" w:eastAsia="仿宋" w:cs="仿宋"/>
          <w:i w:val="0"/>
          <w:iCs w:val="0"/>
          <w:caps w:val="0"/>
          <w:color w:val="auto"/>
          <w:spacing w:val="0"/>
          <w:kern w:val="0"/>
          <w:sz w:val="28"/>
          <w:szCs w:val="28"/>
          <w:lang w:val="en-US" w:eastAsia="zh-CN" w:bidi="ar"/>
        </w:rPr>
        <w:br w:type="textWrapping"/>
      </w:r>
      <w:r>
        <w:rPr>
          <w:rStyle w:val="21"/>
          <w:rFonts w:hint="eastAsia" w:ascii="仿宋" w:hAnsi="仿宋" w:eastAsia="仿宋" w:cs="仿宋"/>
          <w:b/>
          <w:bCs/>
          <w:i w:val="0"/>
          <w:iCs w:val="0"/>
          <w:caps w:val="0"/>
          <w:color w:val="auto"/>
          <w:spacing w:val="0"/>
          <w:kern w:val="0"/>
          <w:sz w:val="28"/>
          <w:szCs w:val="28"/>
          <w:lang w:val="en-US" w:eastAsia="zh-CN" w:bidi="ar"/>
        </w:rPr>
        <w:t>九、付款方式：</w:t>
      </w:r>
    </w:p>
    <w:p>
      <w:pPr>
        <w:keepNext w:val="0"/>
        <w:keepLines w:val="0"/>
        <w:widowControl/>
        <w:numPr>
          <w:ilvl w:val="0"/>
          <w:numId w:val="0"/>
        </w:numPr>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验收合格后一次性付清合同款。</w:t>
      </w:r>
      <w:r>
        <w:rPr>
          <w:rFonts w:hint="eastAsia" w:ascii="仿宋" w:hAnsi="仿宋" w:eastAsia="仿宋" w:cs="仿宋"/>
          <w:i w:val="0"/>
          <w:iCs w:val="0"/>
          <w:caps w:val="0"/>
          <w:color w:val="auto"/>
          <w:spacing w:val="0"/>
          <w:kern w:val="0"/>
          <w:sz w:val="28"/>
          <w:szCs w:val="28"/>
          <w:lang w:val="en-US" w:eastAsia="zh-CN" w:bidi="ar"/>
        </w:rPr>
        <w:br w:type="textWrapping"/>
      </w:r>
      <w:r>
        <w:rPr>
          <w:rStyle w:val="21"/>
          <w:rFonts w:hint="eastAsia" w:ascii="仿宋" w:hAnsi="仿宋" w:eastAsia="仿宋" w:cs="仿宋"/>
          <w:b/>
          <w:bCs/>
          <w:i w:val="0"/>
          <w:iCs w:val="0"/>
          <w:caps w:val="0"/>
          <w:color w:val="auto"/>
          <w:spacing w:val="0"/>
          <w:kern w:val="0"/>
          <w:sz w:val="28"/>
          <w:szCs w:val="28"/>
          <w:lang w:val="en-US" w:eastAsia="zh-CN" w:bidi="ar"/>
        </w:rPr>
        <w:t>十、联系方式：</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采购人：赣州市肿瘤医院</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地址：赣州市水东镇花园前19号</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电话：0797-8105097</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联系人：游龙跃</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网址：</w:t>
      </w:r>
      <w:r>
        <w:rPr>
          <w:rFonts w:hint="eastAsia" w:ascii="仿宋" w:hAnsi="仿宋" w:eastAsia="仿宋" w:cs="仿宋"/>
          <w:i w:val="0"/>
          <w:iCs w:val="0"/>
          <w:caps w:val="0"/>
          <w:color w:val="auto"/>
          <w:spacing w:val="0"/>
          <w:kern w:val="0"/>
          <w:sz w:val="28"/>
          <w:szCs w:val="28"/>
          <w:u w:val="none"/>
          <w:lang w:val="en-US" w:eastAsia="zh-CN" w:bidi="ar"/>
        </w:rPr>
        <w:fldChar w:fldCharType="begin"/>
      </w:r>
      <w:r>
        <w:rPr>
          <w:rFonts w:hint="eastAsia" w:ascii="仿宋" w:hAnsi="仿宋" w:eastAsia="仿宋" w:cs="仿宋"/>
          <w:i w:val="0"/>
          <w:iCs w:val="0"/>
          <w:caps w:val="0"/>
          <w:color w:val="auto"/>
          <w:spacing w:val="0"/>
          <w:kern w:val="0"/>
          <w:sz w:val="28"/>
          <w:szCs w:val="28"/>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8"/>
          <w:szCs w:val="28"/>
          <w:u w:val="none"/>
          <w:lang w:val="en-US" w:eastAsia="zh-CN" w:bidi="ar"/>
        </w:rPr>
        <w:fldChar w:fldCharType="separate"/>
      </w:r>
      <w:r>
        <w:rPr>
          <w:rStyle w:val="29"/>
          <w:rFonts w:hint="eastAsia" w:ascii="仿宋" w:hAnsi="仿宋" w:eastAsia="仿宋" w:cs="仿宋"/>
          <w:i w:val="0"/>
          <w:iCs w:val="0"/>
          <w:caps w:val="0"/>
          <w:color w:val="auto"/>
          <w:spacing w:val="0"/>
          <w:sz w:val="28"/>
          <w:szCs w:val="28"/>
          <w:u w:val="none"/>
        </w:rPr>
        <w:t>http://www.gzzlyy.com/</w:t>
      </w:r>
      <w:r>
        <w:rPr>
          <w:rFonts w:hint="eastAsia" w:ascii="仿宋" w:hAnsi="仿宋" w:eastAsia="仿宋" w:cs="仿宋"/>
          <w:i w:val="0"/>
          <w:iCs w:val="0"/>
          <w:caps w:val="0"/>
          <w:color w:val="auto"/>
          <w:spacing w:val="0"/>
          <w:kern w:val="0"/>
          <w:sz w:val="28"/>
          <w:szCs w:val="28"/>
          <w:u w:val="none"/>
          <w:lang w:val="en-US" w:eastAsia="zh-CN" w:bidi="ar"/>
        </w:rPr>
        <w:fldChar w:fldCharType="end"/>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附件1：赣州市肿瘤医院采购会报名表</w:t>
      </w:r>
    </w:p>
    <w:tbl>
      <w:tblPr>
        <w:tblStyle w:val="18"/>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300"/>
        <w:gridCol w:w="1230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u w:val="none"/>
              </w:rPr>
              <w:drawing>
                <wp:inline distT="0" distB="0" distL="114300" distR="114300">
                  <wp:extent cx="171450" cy="171450"/>
                  <wp:effectExtent l="0" t="0" r="0" b="0"/>
                  <wp:docPr id="3" name="图片 1"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171450" cy="171450"/>
                          </a:xfrm>
                          <a:prstGeom prst="rect">
                            <a:avLst/>
                          </a:prstGeom>
                          <a:noFill/>
                          <a:ln>
                            <a:noFill/>
                          </a:ln>
                        </pic:spPr>
                      </pic:pic>
                    </a:graphicData>
                  </a:graphic>
                </wp:inline>
              </w:drawing>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 </w:t>
            </w:r>
          </w:p>
        </w:tc>
      </w:tr>
    </w:tbl>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附件2：竞争性谈判文件</w:t>
      </w:r>
    </w:p>
    <w:tbl>
      <w:tblPr>
        <w:tblStyle w:val="18"/>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300"/>
        <w:gridCol w:w="1230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u w:val="none"/>
              </w:rPr>
              <w:drawing>
                <wp:inline distT="0" distB="0" distL="114300" distR="114300">
                  <wp:extent cx="171450" cy="171450"/>
                  <wp:effectExtent l="0" t="0" r="0" b="0"/>
                  <wp:docPr id="2" name="图片 2" descr="IMG_25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171450" cy="171450"/>
                          </a:xfrm>
                          <a:prstGeom prst="rect">
                            <a:avLst/>
                          </a:prstGeom>
                          <a:noFill/>
                          <a:ln>
                            <a:noFill/>
                          </a:ln>
                        </pic:spPr>
                      </pic:pic>
                    </a:graphicData>
                  </a:graphic>
                </wp:inline>
              </w:drawing>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 </w:t>
            </w:r>
          </w:p>
        </w:tc>
      </w:tr>
    </w:tbl>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赣州市肿瘤医院</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2023年9月22日</w:t>
      </w:r>
    </w:p>
    <w:p>
      <w:pPr>
        <w:keepNext w:val="0"/>
        <w:keepLines w:val="0"/>
        <w:widowControl/>
        <w:suppressLineNumbers w:val="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 </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color w:val="auto"/>
          <w:highlight w:val="none"/>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rPr>
          <w:rFonts w:hint="eastAsia"/>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361733089"/>
      <w:bookmarkStart w:id="6" w:name="_Toc29044"/>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4"/>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4"/>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4"/>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361733091"/>
      <w:bookmarkStart w:id="11" w:name="_Toc20158"/>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3"/>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rPr>
          <w:rFonts w:hint="eastAsia" w:ascii="仿宋" w:hAnsi="仿宋" w:eastAsia="仿宋" w:cs="仿宋"/>
          <w:color w:val="auto"/>
          <w:kern w:val="0"/>
          <w:sz w:val="44"/>
          <w:szCs w:val="44"/>
          <w:highlight w:val="none"/>
          <w:lang w:val="en-US" w:eastAsia="zh-CN"/>
        </w:rPr>
      </w:pPr>
    </w:p>
    <w:p>
      <w:pPr>
        <w:pStyle w:val="6"/>
        <w:numPr>
          <w:ilvl w:val="0"/>
          <w:numId w:val="0"/>
        </w:numPr>
        <w:ind w:leftChars="0"/>
        <w:rPr>
          <w:rFonts w:hint="eastAsia" w:ascii="仿宋" w:hAnsi="仿宋" w:eastAsia="仿宋" w:cs="仿宋"/>
          <w:color w:val="auto"/>
          <w:kern w:val="0"/>
          <w:sz w:val="32"/>
          <w:szCs w:val="32"/>
          <w:highlight w:val="none"/>
          <w:lang w:val="en-US" w:eastAsia="zh-CN"/>
        </w:rPr>
      </w:pPr>
    </w:p>
    <w:p>
      <w:pPr>
        <w:pStyle w:val="3"/>
        <w:numPr>
          <w:numId w:val="0"/>
        </w:numPr>
        <w:ind w:left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三、主要技术及商务需求</w:t>
      </w:r>
    </w:p>
    <w:p>
      <w:pPr>
        <w:keepNext w:val="0"/>
        <w:keepLines w:val="0"/>
        <w:widowControl/>
        <w:numPr>
          <w:numId w:val="0"/>
        </w:numPr>
        <w:suppressLineNumbers w:val="0"/>
        <w:jc w:val="left"/>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（一）主要技术需求</w:t>
      </w:r>
    </w:p>
    <w:p>
      <w:pPr>
        <w:numPr>
          <w:ilvl w:val="0"/>
          <w:numId w:val="0"/>
        </w:numPr>
        <w:ind w:firstLine="560" w:firstLineChars="200"/>
        <w:jc w:val="left"/>
        <w:rPr>
          <w:rFonts w:hint="eastAsia" w:ascii="仿宋" w:hAnsi="仿宋" w:eastAsia="仿宋" w:cs="仿宋"/>
          <w:color w:val="auto"/>
          <w:sz w:val="28"/>
          <w:szCs w:val="28"/>
          <w:vertAlign w:val="baseline"/>
        </w:rPr>
      </w:pPr>
      <w:r>
        <w:rPr>
          <w:rFonts w:hint="eastAsia" w:ascii="仿宋" w:hAnsi="仿宋" w:eastAsia="仿宋" w:cs="仿宋"/>
          <w:color w:val="auto"/>
          <w:sz w:val="28"/>
          <w:szCs w:val="28"/>
          <w:vertAlign w:val="baseline"/>
        </w:rPr>
        <w:t>兼容现网AirEngine9700-M1无线接入控制器，提供无线接入控制器AP资源授权数</w:t>
      </w:r>
      <w:r>
        <w:rPr>
          <w:rFonts w:hint="eastAsia" w:ascii="仿宋" w:hAnsi="仿宋" w:eastAsia="仿宋" w:cs="仿宋"/>
          <w:color w:val="auto"/>
          <w:sz w:val="28"/>
          <w:szCs w:val="28"/>
          <w:vertAlign w:val="baseline"/>
          <w:lang w:eastAsia="zh-CN"/>
        </w:rPr>
        <w:t>，</w:t>
      </w:r>
      <w:r>
        <w:rPr>
          <w:rFonts w:hint="eastAsia" w:ascii="仿宋" w:hAnsi="仿宋" w:eastAsia="仿宋" w:cs="仿宋"/>
          <w:color w:val="auto"/>
          <w:sz w:val="28"/>
          <w:szCs w:val="28"/>
          <w:vertAlign w:val="baseline"/>
          <w:lang w:val="en-US" w:eastAsia="zh-CN"/>
        </w:rPr>
        <w:t>支持多种型号的无线AP型号，包括但不限于吸顶、壁装AP等。可在医院现有无线管理器上无缝扩容，无需增加任何硬件设备</w:t>
      </w:r>
      <w:r>
        <w:rPr>
          <w:rFonts w:hint="eastAsia" w:ascii="仿宋" w:hAnsi="仿宋" w:eastAsia="仿宋" w:cs="仿宋"/>
          <w:color w:val="auto"/>
          <w:sz w:val="28"/>
          <w:szCs w:val="28"/>
          <w:vertAlign w:val="baseline"/>
        </w:rPr>
        <w:t>。</w:t>
      </w:r>
    </w:p>
    <w:p>
      <w:pPr>
        <w:pStyle w:val="2"/>
        <w:numPr>
          <w:numId w:val="0"/>
        </w:numPr>
        <w:ind w:leftChars="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（二）主要商务需求</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1、投标人所投产品必须是本国产品，本项目不接受所投产品为进口产品的投标。</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2、投标人不得将本项目中的内容拆散来投标，不接受联合体投标。</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3、本招标文件提出的是最低限度的要求，投标供应商的方案应达到或优于本招标文件要求，且符合国家有关标准和规范要求。</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4、完工期：合同签订生效后30个工作日内完成供货、部署、测试调试及投入使用工作，与其他系统对接不收取任何费用。</w:t>
      </w:r>
    </w:p>
    <w:p>
      <w:pPr>
        <w:jc w:val="left"/>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5、售后服务：投标人需提供终身售后服务，若出现异常或故障时，问题响应时间：远程立刻响应，如远程解决不了的4小时内上门提供服务，并在24小时内解决问题，提供免费维护期为三年，维护期内所有服务产生的费用均不再收取。</w:t>
      </w:r>
    </w:p>
    <w:p>
      <w:pPr>
        <w:pStyle w:val="2"/>
        <w:numPr>
          <w:ilvl w:val="0"/>
          <w:numId w:val="0"/>
        </w:numPr>
        <w:ind w:leftChars="0"/>
        <w:rPr>
          <w:rFonts w:hint="eastAsia" w:ascii="仿宋" w:hAnsi="仿宋" w:eastAsia="仿宋" w:cs="仿宋"/>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6、实施地点：赣州市肿瘤医院。</w:t>
      </w:r>
    </w:p>
    <w:p>
      <w:pPr>
        <w:widowControl/>
        <w:ind w:firstLine="0" w:firstLineChars="0"/>
        <w:jc w:val="left"/>
        <w:rPr>
          <w:rFonts w:hint="eastAsia" w:ascii="仿宋" w:hAnsi="仿宋" w:eastAsia="仿宋" w:cs="仿宋"/>
          <w:sz w:val="28"/>
          <w:szCs w:val="28"/>
          <w:highlight w:val="none"/>
        </w:rPr>
      </w:pPr>
    </w:p>
    <w:p>
      <w:pPr>
        <w:pStyle w:val="7"/>
        <w:numPr>
          <w:ilvl w:val="0"/>
          <w:numId w:val="0"/>
        </w:numPr>
        <w:ind w:leftChars="0"/>
        <w:rPr>
          <w:rFonts w:hint="eastAsia"/>
          <w:highlight w:val="none"/>
          <w:lang w:val="en-US" w:eastAsia="zh-CN"/>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pStyle w:val="3"/>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10"/>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pStyle w:val="10"/>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4"/>
        <w:spacing w:before="0" w:after="0" w:line="460" w:lineRule="exact"/>
        <w:ind w:left="0" w:leftChars="0" w:firstLine="0" w:firstLineChars="0"/>
        <w:jc w:val="both"/>
        <w:rPr>
          <w:rFonts w:hint="eastAsia" w:ascii="仿宋" w:hAnsi="仿宋" w:eastAsia="仿宋" w:cs="仿宋"/>
          <w:color w:val="auto"/>
          <w:highlight w:val="none"/>
        </w:rPr>
      </w:pPr>
      <w:bookmarkStart w:id="21" w:name="_Toc5315"/>
      <w:bookmarkStart w:id="22" w:name="_Toc919"/>
    </w:p>
    <w:p>
      <w:pPr>
        <w:pStyle w:val="4"/>
        <w:spacing w:before="0" w:after="0" w:line="460" w:lineRule="exact"/>
        <w:ind w:left="0" w:leftChars="0" w:firstLine="0" w:firstLineChars="0"/>
        <w:jc w:val="center"/>
        <w:rPr>
          <w:rFonts w:hint="eastAsia" w:ascii="仿宋" w:hAnsi="仿宋" w:eastAsia="仿宋" w:cs="仿宋"/>
          <w:color w:val="auto"/>
          <w:highlight w:val="none"/>
        </w:rPr>
      </w:pPr>
    </w:p>
    <w:bookmarkEnd w:id="21"/>
    <w:bookmarkEnd w:id="22"/>
    <w:p>
      <w:pPr>
        <w:pStyle w:val="4"/>
        <w:spacing w:before="0" w:after="0" w:line="460" w:lineRule="exact"/>
        <w:ind w:left="0" w:leftChars="0" w:firstLine="0" w:firstLineChars="0"/>
        <w:jc w:val="both"/>
        <w:rPr>
          <w:rFonts w:hint="eastAsia" w:ascii="仿宋" w:hAnsi="仿宋" w:eastAsia="仿宋" w:cs="仿宋"/>
          <w:color w:val="auto"/>
          <w:highlight w:val="none"/>
        </w:rPr>
      </w:pPr>
    </w:p>
    <w:p>
      <w:pPr>
        <w:spacing w:line="440" w:lineRule="exact"/>
        <w:ind w:firstLine="540" w:firstLineChars="200"/>
        <w:rPr>
          <w:rFonts w:hint="eastAsia" w:ascii="仿宋" w:hAnsi="仿宋" w:eastAsia="仿宋" w:cs="仿宋"/>
          <w:color w:val="auto"/>
          <w:kern w:val="0"/>
          <w:sz w:val="27"/>
          <w:szCs w:val="27"/>
          <w:highlight w:val="none"/>
        </w:rPr>
      </w:pPr>
    </w:p>
    <w:p>
      <w:pPr>
        <w:pStyle w:val="4"/>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1"/>
        <w:rPr>
          <w:rFonts w:hint="eastAsia" w:ascii="仿宋" w:hAnsi="仿宋" w:eastAsia="仿宋" w:cs="仿宋"/>
          <w:color w:val="auto"/>
          <w:highlight w:val="none"/>
        </w:rPr>
      </w:pPr>
    </w:p>
    <w:p>
      <w:pPr>
        <w:pStyle w:val="11"/>
        <w:ind w:left="0" w:leftChars="0" w:firstLine="0" w:firstLineChars="0"/>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bookmarkStart w:id="23" w:name="_Toc22759"/>
      <w:bookmarkStart w:id="24" w:name="_Toc331493648"/>
      <w:bookmarkStart w:id="25" w:name="_Toc413396840"/>
      <w:bookmarkStart w:id="26" w:name="_Toc19814"/>
    </w:p>
    <w:p>
      <w:pPr>
        <w:rPr>
          <w:rFonts w:hint="eastAsia" w:ascii="仿宋" w:hAnsi="仿宋" w:eastAsia="仿宋" w:cs="仿宋"/>
          <w:color w:val="auto"/>
          <w:highlight w:val="none"/>
        </w:rPr>
      </w:pPr>
    </w:p>
    <w:bookmarkEnd w:id="23"/>
    <w:bookmarkEnd w:id="24"/>
    <w:bookmarkEnd w:id="25"/>
    <w:bookmarkEnd w:id="26"/>
    <w:p>
      <w:pPr>
        <w:pStyle w:val="4"/>
        <w:ind w:left="0" w:leftChars="0" w:firstLine="0" w:firstLineChars="0"/>
        <w:jc w:val="center"/>
        <w:rPr>
          <w:rFonts w:hint="eastAsia" w:ascii="仿宋" w:hAnsi="仿宋" w:eastAsia="仿宋" w:cs="仿宋"/>
          <w:color w:val="auto"/>
          <w:kern w:val="0"/>
          <w:highlight w:val="none"/>
          <w:lang w:val="en-US" w:eastAsia="zh-CN"/>
        </w:rPr>
      </w:pPr>
      <w:bookmarkStart w:id="27" w:name="_Toc480191543"/>
      <w:bookmarkStart w:id="28" w:name="_Toc485736232"/>
      <w:bookmarkStart w:id="29" w:name="_Toc413396845"/>
      <w:bookmarkStart w:id="30" w:name="_Toc331493653"/>
      <w:bookmarkStart w:id="31" w:name="_Toc1161"/>
      <w:bookmarkStart w:id="32" w:name="_Toc6176"/>
    </w:p>
    <w:p>
      <w:pPr>
        <w:pStyle w:val="4"/>
        <w:ind w:left="0" w:leftChars="0" w:firstLine="0" w:firstLineChars="0"/>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6"/>
        <w:rPr>
          <w:rFonts w:hint="eastAsia" w:ascii="仿宋" w:hAnsi="仿宋" w:eastAsia="仿宋" w:cs="仿宋"/>
          <w:color w:val="auto"/>
          <w:highlight w:val="none"/>
        </w:rPr>
      </w:pPr>
    </w:p>
    <w:tbl>
      <w:tblPr>
        <w:tblStyle w:val="18"/>
        <w:tblW w:w="1136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886"/>
        <w:gridCol w:w="1886"/>
        <w:gridCol w:w="1960"/>
        <w:gridCol w:w="1960"/>
        <w:gridCol w:w="1836"/>
        <w:gridCol w:w="18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49" w:hRule="atLeast"/>
          <w:tblCellSpacing w:w="0" w:type="dxa"/>
          <w:jc w:val="center"/>
        </w:trPr>
        <w:tc>
          <w:tcPr>
            <w:tcW w:w="1886" w:type="dxa"/>
            <w:noWrap w:val="0"/>
            <w:vAlign w:val="center"/>
          </w:tcPr>
          <w:p>
            <w:pPr>
              <w:widowControl/>
              <w:snapToGrid w:val="0"/>
              <w:jc w:val="center"/>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序号</w:t>
            </w:r>
          </w:p>
        </w:tc>
        <w:tc>
          <w:tcPr>
            <w:tcW w:w="18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项目</w:t>
            </w:r>
            <w:r>
              <w:rPr>
                <w:rFonts w:hint="eastAsia" w:ascii="仿宋" w:hAnsi="仿宋" w:eastAsia="仿宋" w:cs="仿宋"/>
                <w:color w:val="auto"/>
                <w:kern w:val="0"/>
                <w:sz w:val="28"/>
                <w:szCs w:val="28"/>
                <w:highlight w:val="none"/>
              </w:rPr>
              <w:t>名称</w:t>
            </w:r>
          </w:p>
        </w:tc>
        <w:tc>
          <w:tcPr>
            <w:tcW w:w="1960" w:type="dxa"/>
            <w:noWrap w:val="0"/>
            <w:vAlign w:val="center"/>
          </w:tcPr>
          <w:p>
            <w:pPr>
              <w:widowControl/>
              <w:snapToGrid w:val="0"/>
              <w:jc w:val="center"/>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参数说明</w:t>
            </w:r>
          </w:p>
        </w:tc>
        <w:tc>
          <w:tcPr>
            <w:tcW w:w="19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83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c>
          <w:tcPr>
            <w:tcW w:w="183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89" w:hRule="atLeast"/>
          <w:tblCellSpacing w:w="0" w:type="dxa"/>
          <w:jc w:val="center"/>
        </w:trPr>
        <w:tc>
          <w:tcPr>
            <w:tcW w:w="18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9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9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3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3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71" w:hRule="atLeast"/>
          <w:tblCellSpacing w:w="0" w:type="dxa"/>
          <w:jc w:val="center"/>
        </w:trPr>
        <w:tc>
          <w:tcPr>
            <w:tcW w:w="11364" w:type="dxa"/>
            <w:gridSpan w:val="6"/>
            <w:noWrap w:val="0"/>
            <w:vAlign w:val="center"/>
          </w:tcPr>
          <w:p>
            <w:pPr>
              <w:widowControl/>
              <w:spacing w:line="360" w:lineRule="auto"/>
              <w:jc w:val="both"/>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bookmarkStart w:id="59" w:name="_GoBack"/>
      <w:bookmarkEnd w:id="59"/>
    </w:p>
    <w:p>
      <w:pPr>
        <w:rPr>
          <w:rFonts w:hint="eastAsia" w:ascii="仿宋" w:hAnsi="仿宋" w:eastAsia="仿宋" w:cs="仿宋"/>
          <w:color w:val="auto"/>
          <w:kern w:val="0"/>
          <w:highlight w:val="none"/>
        </w:rPr>
      </w:pPr>
    </w:p>
    <w:p>
      <w:pPr>
        <w:ind w:right="28"/>
        <w:rPr>
          <w:rFonts w:hint="eastAsia" w:ascii="仿宋" w:hAnsi="仿宋" w:eastAsia="仿宋" w:cs="仿宋"/>
          <w:color w:val="auto"/>
          <w:sz w:val="28"/>
          <w:szCs w:val="28"/>
          <w:highlight w:val="none"/>
        </w:rPr>
      </w:pPr>
    </w:p>
    <w:p>
      <w:pPr>
        <w:pStyle w:val="4"/>
        <w:spacing w:before="0" w:after="0" w:line="460" w:lineRule="exact"/>
        <w:ind w:firstLine="0"/>
        <w:rPr>
          <w:rFonts w:hint="eastAsia" w:ascii="仿宋" w:hAnsi="仿宋" w:eastAsia="仿宋" w:cs="仿宋"/>
          <w:color w:val="auto"/>
          <w:highlight w:val="none"/>
        </w:rPr>
      </w:pPr>
    </w:p>
    <w:p>
      <w:pPr>
        <w:pStyle w:val="4"/>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bookmarkEnd w:id="29"/>
    <w:bookmarkEnd w:id="30"/>
    <w:bookmarkEnd w:id="31"/>
    <w:bookmarkEnd w:id="32"/>
    <w:p>
      <w:pPr>
        <w:keepNext/>
        <w:keepLines/>
        <w:spacing w:before="260" w:after="260" w:line="413" w:lineRule="auto"/>
        <w:jc w:val="center"/>
        <w:outlineLvl w:val="1"/>
        <w:rPr>
          <w:rFonts w:ascii="Arial" w:hAnsi="Arial" w:eastAsia="黑体"/>
          <w:b/>
          <w:bCs/>
          <w:color w:val="auto"/>
          <w:sz w:val="32"/>
          <w:szCs w:val="32"/>
          <w:highlight w:val="none"/>
        </w:rPr>
      </w:pPr>
      <w:bookmarkStart w:id="33" w:name="_Toc23201"/>
      <w:bookmarkStart w:id="34" w:name="_Toc7073"/>
      <w:bookmarkStart w:id="35" w:name="_Toc413396854"/>
    </w:p>
    <w:p>
      <w:pPr>
        <w:keepNext/>
        <w:keepLines/>
        <w:spacing w:before="260" w:after="260" w:line="413" w:lineRule="auto"/>
        <w:jc w:val="both"/>
        <w:outlineLvl w:val="1"/>
        <w:rPr>
          <w:rFonts w:ascii="Arial" w:hAnsi="Arial" w:eastAsia="黑体"/>
          <w:b/>
          <w:bCs/>
          <w:color w:val="auto"/>
          <w:sz w:val="32"/>
          <w:szCs w:val="32"/>
          <w:highlight w:val="none"/>
        </w:rPr>
      </w:pPr>
    </w:p>
    <w:bookmarkEnd w:id="33"/>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jc w:val="both"/>
        <w:outlineLvl w:val="1"/>
        <w:rPr>
          <w:rFonts w:ascii="Arial" w:hAnsi="Arial" w:eastAsia="黑体"/>
          <w:b/>
          <w:bCs/>
          <w:color w:val="auto"/>
          <w:sz w:val="32"/>
          <w:szCs w:val="32"/>
          <w:highlight w:val="none"/>
        </w:rPr>
      </w:pPr>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jc w:val="center"/>
        <w:outlineLvl w:val="1"/>
        <w:rPr>
          <w:rFonts w:ascii="Arial" w:hAnsi="Arial" w:eastAsia="黑体"/>
          <w:b/>
          <w:bCs/>
          <w:sz w:val="32"/>
          <w:szCs w:val="32"/>
          <w:highlight w:val="none"/>
        </w:rPr>
      </w:pPr>
      <w:bookmarkStart w:id="37" w:name="_Toc423337570"/>
      <w:bookmarkStart w:id="38" w:name="_Toc469749013"/>
      <w:bookmarkStart w:id="39" w:name="_Toc23487"/>
      <w:r>
        <w:rPr>
          <w:rFonts w:hint="eastAsia" w:ascii="Arial" w:hAnsi="Arial" w:eastAsia="黑体"/>
          <w:b/>
          <w:bCs/>
          <w:sz w:val="32"/>
          <w:szCs w:val="32"/>
          <w:highlight w:val="none"/>
          <w:lang w:val="en-US" w:eastAsia="zh-CN"/>
        </w:rPr>
        <w:t>5</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37"/>
      <w:bookmarkEnd w:id="38"/>
      <w:bookmarkEnd w:id="39"/>
    </w:p>
    <w:p>
      <w:pPr>
        <w:spacing w:line="500" w:lineRule="exact"/>
        <w:ind w:firstLine="1250" w:firstLineChars="500"/>
        <w:rPr>
          <w:rFonts w:hint="eastAsia" w:ascii="宋体" w:hAnsi="宋体"/>
          <w:sz w:val="25"/>
          <w:szCs w:val="25"/>
          <w:highlight w:val="none"/>
        </w:rPr>
      </w:pPr>
      <w:bookmarkStart w:id="40" w:name="_Toc423337571"/>
      <w:bookmarkStart w:id="41" w:name="_Toc417890583"/>
      <w:bookmarkStart w:id="42"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6"/>
        <w:rPr>
          <w:rFonts w:hint="eastAsia"/>
          <w:highlight w:val="none"/>
        </w:rPr>
      </w:pPr>
    </w:p>
    <w:bookmarkEnd w:id="40"/>
    <w:bookmarkEnd w:id="41"/>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3" w:name="_Toc24750"/>
      <w:bookmarkStart w:id="44" w:name="_Toc469749014"/>
      <w:r>
        <w:rPr>
          <w:rFonts w:hint="eastAsia" w:ascii="Arial" w:hAnsi="Arial" w:eastAsia="黑体"/>
          <w:b/>
          <w:bCs/>
          <w:sz w:val="32"/>
          <w:szCs w:val="32"/>
          <w:highlight w:val="none"/>
          <w:lang w:val="en-US" w:eastAsia="zh-CN"/>
        </w:rPr>
        <w:t>6</w:t>
      </w:r>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3"/>
      <w:bookmarkEnd w:id="44"/>
      <w:r>
        <w:rPr>
          <w:rFonts w:ascii="Arial" w:hAnsi="Arial" w:eastAsia="黑体"/>
          <w:b/>
          <w:bCs/>
          <w:sz w:val="32"/>
          <w:szCs w:val="32"/>
          <w:highlight w:val="none"/>
        </w:rPr>
        <w:t xml:space="preserve"> </w:t>
      </w:r>
    </w:p>
    <w:bookmarkEnd w:id="42"/>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4"/>
        <w:rPr>
          <w:rFonts w:hint="eastAsia"/>
          <w:highlight w:val="none"/>
          <w:lang w:eastAsia="zh-CN"/>
        </w:rPr>
      </w:pPr>
      <w:bookmarkStart w:id="45" w:name="_Toc25526"/>
    </w:p>
    <w:p>
      <w:pPr>
        <w:pStyle w:val="4"/>
        <w:rPr>
          <w:rFonts w:hint="eastAsia"/>
          <w:highlight w:val="none"/>
        </w:rPr>
      </w:pPr>
      <w:bookmarkStart w:id="46" w:name="_Toc31359"/>
      <w:r>
        <w:rPr>
          <w:rFonts w:hint="eastAsia"/>
          <w:highlight w:val="none"/>
          <w:lang w:val="en-US" w:eastAsia="zh-CN"/>
        </w:rPr>
        <w:t>7</w:t>
      </w:r>
      <w:r>
        <w:rPr>
          <w:rFonts w:hint="eastAsia"/>
          <w:highlight w:val="none"/>
          <w:lang w:eastAsia="zh-CN"/>
        </w:rPr>
        <w:t>.</w:t>
      </w:r>
      <w:r>
        <w:rPr>
          <w:rFonts w:hint="eastAsia"/>
          <w:highlight w:val="none"/>
        </w:rPr>
        <w:t>依法缴纳税收证明</w:t>
      </w:r>
      <w:bookmarkEnd w:id="45"/>
      <w:bookmarkEnd w:id="46"/>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6"/>
        <w:rPr>
          <w:rFonts w:hint="eastAsia" w:ascii="宋体" w:hAnsi="宋体"/>
          <w:sz w:val="25"/>
          <w:szCs w:val="25"/>
          <w:highlight w:val="none"/>
        </w:rPr>
      </w:pPr>
    </w:p>
    <w:p>
      <w:pPr>
        <w:pStyle w:val="4"/>
        <w:rPr>
          <w:rFonts w:hint="eastAsia"/>
          <w:highlight w:val="none"/>
          <w:lang w:eastAsia="zh-CN"/>
        </w:rPr>
      </w:pPr>
      <w:bookmarkStart w:id="47" w:name="_Toc4678"/>
    </w:p>
    <w:p>
      <w:pPr>
        <w:pStyle w:val="4"/>
        <w:rPr>
          <w:rFonts w:hint="eastAsia"/>
          <w:highlight w:val="none"/>
        </w:rPr>
      </w:pPr>
      <w:bookmarkStart w:id="48" w:name="_Toc14430"/>
      <w:r>
        <w:rPr>
          <w:rFonts w:hint="eastAsia"/>
          <w:highlight w:val="none"/>
          <w:lang w:val="en-US" w:eastAsia="zh-CN"/>
        </w:rPr>
        <w:t>8</w:t>
      </w:r>
      <w:r>
        <w:rPr>
          <w:rFonts w:hint="eastAsia"/>
          <w:highlight w:val="none"/>
          <w:lang w:eastAsia="zh-CN"/>
        </w:rPr>
        <w:t>.</w:t>
      </w:r>
      <w:r>
        <w:rPr>
          <w:rFonts w:hint="eastAsia"/>
          <w:highlight w:val="none"/>
        </w:rPr>
        <w:t>依法缴纳社会保障资金的相关材料</w:t>
      </w:r>
      <w:bookmarkEnd w:id="47"/>
      <w:bookmarkEnd w:id="48"/>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4"/>
        <w:rPr>
          <w:rFonts w:hint="eastAsia"/>
          <w:color w:val="auto"/>
          <w:highlight w:val="none"/>
        </w:rPr>
      </w:pPr>
      <w:bookmarkStart w:id="49" w:name="_Toc26349"/>
      <w:bookmarkStart w:id="50" w:name="_Toc3387"/>
      <w:r>
        <w:rPr>
          <w:rFonts w:hint="eastAsia"/>
          <w:b w:val="0"/>
          <w:bCs w:val="0"/>
          <w:color w:val="auto"/>
          <w:highlight w:val="none"/>
          <w:lang w:val="en-US" w:eastAsia="zh-CN"/>
        </w:rPr>
        <w:t>9</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49"/>
      <w:bookmarkEnd w:id="50"/>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1" w:name="_Toc225"/>
      <w:bookmarkStart w:id="52" w:name="_Toc4577"/>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1"/>
      <w:bookmarkEnd w:id="52"/>
    </w:p>
    <w:p>
      <w:pPr>
        <w:pStyle w:val="7"/>
        <w:rPr>
          <w:rFonts w:hint="eastAsia" w:ascii="宋体" w:hAnsi="宋体"/>
          <w:color w:val="auto"/>
          <w:sz w:val="27"/>
          <w:szCs w:val="27"/>
          <w:highlight w:val="none"/>
        </w:rPr>
      </w:pPr>
    </w:p>
    <w:p>
      <w:pPr>
        <w:pStyle w:val="7"/>
        <w:rPr>
          <w:rFonts w:hint="eastAsia" w:ascii="宋体" w:hAnsi="宋体"/>
          <w:color w:val="auto"/>
          <w:sz w:val="27"/>
          <w:szCs w:val="27"/>
          <w:highlight w:val="none"/>
        </w:rPr>
      </w:pPr>
    </w:p>
    <w:p>
      <w:pPr>
        <w:pStyle w:val="7"/>
        <w:rPr>
          <w:rFonts w:hint="eastAsia" w:ascii="宋体" w:hAnsi="宋体"/>
          <w:color w:val="auto"/>
          <w:sz w:val="27"/>
          <w:szCs w:val="27"/>
          <w:highlight w:val="none"/>
        </w:rPr>
      </w:pPr>
    </w:p>
    <w:p>
      <w:pPr>
        <w:pStyle w:val="7"/>
        <w:rPr>
          <w:rFonts w:hint="eastAsia" w:ascii="宋体" w:hAnsi="宋体"/>
          <w:color w:val="auto"/>
          <w:sz w:val="27"/>
          <w:szCs w:val="27"/>
          <w:highlight w:val="none"/>
        </w:rPr>
      </w:pPr>
    </w:p>
    <w:p>
      <w:pPr>
        <w:pStyle w:val="7"/>
        <w:rPr>
          <w:rFonts w:hint="eastAsia" w:ascii="宋体" w:hAnsi="宋体"/>
          <w:color w:val="auto"/>
          <w:sz w:val="27"/>
          <w:szCs w:val="27"/>
          <w:highlight w:val="none"/>
        </w:rPr>
      </w:pPr>
    </w:p>
    <w:p>
      <w:pPr>
        <w:pStyle w:val="7"/>
        <w:rPr>
          <w:rFonts w:hint="eastAsia" w:ascii="宋体" w:hAnsi="宋体"/>
          <w:color w:val="auto"/>
          <w:sz w:val="27"/>
          <w:szCs w:val="27"/>
          <w:highlight w:val="none"/>
        </w:rPr>
      </w:pPr>
    </w:p>
    <w:p>
      <w:pPr>
        <w:pStyle w:val="7"/>
        <w:rPr>
          <w:rFonts w:hint="eastAsia" w:ascii="宋体" w:hAnsi="宋体"/>
          <w:color w:val="auto"/>
          <w:sz w:val="27"/>
          <w:szCs w:val="27"/>
          <w:highlight w:val="none"/>
        </w:rPr>
      </w:pPr>
    </w:p>
    <w:p>
      <w:pPr>
        <w:pStyle w:val="7"/>
        <w:rPr>
          <w:rFonts w:hint="eastAsia" w:ascii="宋体" w:hAnsi="宋体"/>
          <w:color w:val="auto"/>
          <w:sz w:val="27"/>
          <w:szCs w:val="27"/>
          <w:highlight w:val="none"/>
        </w:rPr>
      </w:pPr>
    </w:p>
    <w:p>
      <w:pPr>
        <w:pStyle w:val="7"/>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3" w:name="_Toc11819"/>
      <w:bookmarkStart w:id="54" w:name="_Toc423337575"/>
      <w:bookmarkStart w:id="55" w:name="_Toc469749018"/>
      <w:r>
        <w:rPr>
          <w:rFonts w:hint="eastAsia" w:ascii="Arial" w:hAnsi="Arial" w:eastAsia="黑体"/>
          <w:b/>
          <w:bCs/>
          <w:color w:val="auto"/>
          <w:sz w:val="32"/>
          <w:szCs w:val="32"/>
          <w:highlight w:val="none"/>
          <w:lang w:val="en-US" w:eastAsia="zh-CN"/>
        </w:rPr>
        <w:t>10</w:t>
      </w:r>
      <w:r>
        <w:rPr>
          <w:rFonts w:hint="eastAsia" w:ascii="Arial" w:hAnsi="Arial" w:eastAsia="黑体"/>
          <w:b/>
          <w:bCs/>
          <w:color w:val="auto"/>
          <w:sz w:val="32"/>
          <w:szCs w:val="32"/>
          <w:highlight w:val="none"/>
        </w:rPr>
        <w:t>.法定代表人（经营者、单位负责人）授权书（格式）</w:t>
      </w:r>
      <w:bookmarkEnd w:id="53"/>
      <w:bookmarkEnd w:id="54"/>
      <w:bookmarkEnd w:id="55"/>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8"/>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56" w:name="_Toc423337576"/>
    </w:p>
    <w:p>
      <w:pPr>
        <w:pStyle w:val="4"/>
        <w:ind w:left="0" w:leftChars="0" w:firstLine="0" w:firstLineChars="0"/>
        <w:jc w:val="both"/>
        <w:rPr>
          <w:highlight w:val="none"/>
        </w:rPr>
      </w:pPr>
      <w:r>
        <w:rPr>
          <w:rFonts w:ascii="宋体" w:hAnsi="宋体"/>
          <w:sz w:val="25"/>
          <w:szCs w:val="25"/>
          <w:highlight w:val="none"/>
        </w:rPr>
        <w:br w:type="page"/>
      </w:r>
      <w:bookmarkStart w:id="57" w:name="_Toc469749019"/>
      <w:bookmarkStart w:id="58" w:name="_Toc32460"/>
      <w:r>
        <w:rPr>
          <w:rFonts w:hint="eastAsia" w:ascii="宋体" w:hAnsi="宋体"/>
          <w:sz w:val="25"/>
          <w:szCs w:val="25"/>
          <w:highlight w:val="none"/>
          <w:lang w:val="en-US" w:eastAsia="zh-CN"/>
        </w:rPr>
        <w:t>11</w:t>
      </w:r>
      <w:r>
        <w:rPr>
          <w:rFonts w:hint="eastAsia" w:ascii="Arial" w:hAnsi="Arial" w:eastAsia="黑体"/>
          <w:b w:val="0"/>
          <w:bCs w:val="0"/>
          <w:sz w:val="32"/>
          <w:szCs w:val="32"/>
          <w:highlight w:val="none"/>
        </w:rPr>
        <w:t>.</w:t>
      </w:r>
      <w:bookmarkEnd w:id="56"/>
      <w:bookmarkEnd w:id="57"/>
      <w:r>
        <w:rPr>
          <w:rFonts w:hint="eastAsia"/>
          <w:highlight w:val="none"/>
          <w:lang w:eastAsia="zh-CN"/>
        </w:rPr>
        <w:t>基本资格条件承诺函</w:t>
      </w:r>
      <w:r>
        <w:rPr>
          <w:rFonts w:hint="eastAsia"/>
          <w:highlight w:val="none"/>
        </w:rPr>
        <w:t>（格式）</w:t>
      </w:r>
      <w:bookmarkEnd w:id="58"/>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468C67E6"/>
    <w:multiLevelType w:val="singleLevel"/>
    <w:tmpl w:val="468C67E6"/>
    <w:lvl w:ilvl="0" w:tentative="0">
      <w:start w:val="1"/>
      <w:numFmt w:val="chineseCounting"/>
      <w:suff w:val="nothing"/>
      <w:lvlText w:val="（%1）"/>
      <w:lvlJc w:val="left"/>
      <w:rPr>
        <w:rFonts w:hint="eastAsia"/>
      </w:rPr>
    </w:lvl>
  </w:abstractNum>
  <w:abstractNum w:abstractNumId="2">
    <w:nsid w:val="78A9F2D2"/>
    <w:multiLevelType w:val="singleLevel"/>
    <w:tmpl w:val="78A9F2D2"/>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ZjA5OWJiYTdmOGU0NDJkYWJjZDAyYWIwZjZkMmQ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9639A2"/>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6E4CB5"/>
    <w:rsid w:val="53916317"/>
    <w:rsid w:val="53C52327"/>
    <w:rsid w:val="53CC450F"/>
    <w:rsid w:val="540B69CD"/>
    <w:rsid w:val="54122CFD"/>
    <w:rsid w:val="543A63F5"/>
    <w:rsid w:val="54470894"/>
    <w:rsid w:val="54751BDE"/>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4F713D"/>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5">
    <w:name w:val="heading 3"/>
    <w:basedOn w:val="1"/>
    <w:next w:val="1"/>
    <w:semiHidden/>
    <w:unhideWhenUsed/>
    <w:qFormat/>
    <w:uiPriority w:val="0"/>
    <w:pPr>
      <w:jc w:val="left"/>
      <w:outlineLvl w:val="2"/>
    </w:pPr>
    <w:rPr>
      <w:rFonts w:hint="eastAsia" w:ascii="宋体" w:hAnsi="宋体"/>
      <w:b/>
      <w:kern w:val="0"/>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w:basedOn w:val="1"/>
    <w:next w:val="7"/>
    <w:qFormat/>
    <w:uiPriority w:val="0"/>
    <w:pPr>
      <w:spacing w:after="120"/>
    </w:pPr>
    <w:rPr>
      <w:rFonts w:ascii="Arial" w:hAnsi="Arial" w:eastAsia="楷体_GB2312"/>
      <w:b/>
      <w:lang w:eastAsia="en-US"/>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Body Text Indent"/>
    <w:basedOn w:val="1"/>
    <w:qFormat/>
    <w:uiPriority w:val="0"/>
    <w:pPr>
      <w:tabs>
        <w:tab w:val="right" w:pos="9638"/>
      </w:tabs>
      <w:spacing w:line="680" w:lineRule="exact"/>
      <w:ind w:firstLine="640" w:firstLineChars="200"/>
    </w:pPr>
    <w:rPr>
      <w:rFonts w:ascii="宋体" w:hAnsi="宋体"/>
      <w:sz w:val="32"/>
    </w:rPr>
  </w:style>
  <w:style w:type="paragraph" w:styleId="9">
    <w:name w:val="toc 3"/>
    <w:basedOn w:val="1"/>
    <w:next w:val="1"/>
    <w:qFormat/>
    <w:uiPriority w:val="0"/>
    <w:pPr>
      <w:ind w:left="840" w:leftChars="400"/>
    </w:pPr>
  </w:style>
  <w:style w:type="paragraph" w:styleId="10">
    <w:name w:val="Plain Text"/>
    <w:basedOn w:val="1"/>
    <w:qFormat/>
    <w:uiPriority w:val="0"/>
    <w:rPr>
      <w:rFonts w:ascii="宋体" w:hAnsi="Courier New" w:cs="Verdana"/>
      <w:b/>
      <w:szCs w:val="20"/>
    </w:rPr>
  </w:style>
  <w:style w:type="paragraph" w:styleId="11">
    <w:name w:val="Body Text Indent 2"/>
    <w:basedOn w:val="1"/>
    <w:unhideWhenUsed/>
    <w:qFormat/>
    <w:uiPriority w:val="99"/>
    <w:pPr>
      <w:spacing w:line="480" w:lineRule="auto"/>
      <w:ind w:left="420" w:leftChars="2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514"/>
      </w:tabs>
      <w:spacing w:line="360" w:lineRule="auto"/>
      <w:ind w:left="-360" w:leftChars="-257" w:hanging="180" w:hangingChars="50"/>
    </w:pPr>
  </w:style>
  <w:style w:type="paragraph" w:styleId="15">
    <w:name w:val="toc 2"/>
    <w:basedOn w:val="1"/>
    <w:next w:val="1"/>
    <w:qFormat/>
    <w:uiPriority w:val="0"/>
    <w:pPr>
      <w:ind w:left="210"/>
      <w:jc w:val="left"/>
    </w:pPr>
    <w:rPr>
      <w:smallCaps/>
      <w:szCs w:val="20"/>
    </w:rPr>
  </w:style>
  <w:style w:type="paragraph" w:styleId="16">
    <w:name w:val="Normal (Web)"/>
    <w:basedOn w:val="1"/>
    <w:qFormat/>
    <w:uiPriority w:val="0"/>
    <w:rPr>
      <w:sz w:val="24"/>
    </w:rPr>
  </w:style>
  <w:style w:type="paragraph" w:styleId="17">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Strong"/>
    <w:basedOn w:val="20"/>
    <w:qFormat/>
    <w:uiPriority w:val="0"/>
    <w:rPr>
      <w:b/>
      <w:sz w:val="24"/>
      <w:szCs w:val="24"/>
    </w:rPr>
  </w:style>
  <w:style w:type="character" w:styleId="22">
    <w:name w:val="page number"/>
    <w:basedOn w:val="20"/>
    <w:qFormat/>
    <w:uiPriority w:val="0"/>
  </w:style>
  <w:style w:type="character" w:styleId="23">
    <w:name w:val="FollowedHyperlink"/>
    <w:basedOn w:val="20"/>
    <w:qFormat/>
    <w:uiPriority w:val="0"/>
    <w:rPr>
      <w:color w:val="800080"/>
      <w:u w:val="none"/>
    </w:rPr>
  </w:style>
  <w:style w:type="character" w:styleId="24">
    <w:name w:val="Emphasis"/>
    <w:basedOn w:val="20"/>
    <w:qFormat/>
    <w:uiPriority w:val="0"/>
    <w:rPr>
      <w:b/>
      <w:bdr w:val="single" w:color="D6D6D6" w:sz="6" w:space="0"/>
      <w:shd w:val="clear" w:color="auto" w:fill="F9F9F9"/>
    </w:rPr>
  </w:style>
  <w:style w:type="character" w:styleId="25">
    <w:name w:val="HTML Definition"/>
    <w:basedOn w:val="20"/>
    <w:qFormat/>
    <w:uiPriority w:val="0"/>
    <w:rPr>
      <w:color w:val="FFFFFF"/>
      <w:shd w:val="clear" w:color="auto" w:fill="048FD2"/>
    </w:rPr>
  </w:style>
  <w:style w:type="character" w:styleId="26">
    <w:name w:val="HTML Typewriter"/>
    <w:basedOn w:val="20"/>
    <w:qFormat/>
    <w:uiPriority w:val="0"/>
    <w:rPr>
      <w:rFonts w:hint="default" w:ascii="monospace" w:hAnsi="monospace" w:eastAsia="monospace" w:cs="monospace"/>
      <w:sz w:val="20"/>
    </w:rPr>
  </w:style>
  <w:style w:type="character" w:styleId="27">
    <w:name w:val="HTML Acronym"/>
    <w:basedOn w:val="20"/>
    <w:qFormat/>
    <w:uiPriority w:val="0"/>
  </w:style>
  <w:style w:type="character" w:styleId="28">
    <w:name w:val="HTML Variable"/>
    <w:basedOn w:val="20"/>
    <w:qFormat/>
    <w:uiPriority w:val="0"/>
  </w:style>
  <w:style w:type="character" w:styleId="29">
    <w:name w:val="Hyperlink"/>
    <w:basedOn w:val="20"/>
    <w:qFormat/>
    <w:uiPriority w:val="0"/>
    <w:rPr>
      <w:color w:val="0000FF"/>
      <w:u w:val="none"/>
    </w:rPr>
  </w:style>
  <w:style w:type="character" w:styleId="30">
    <w:name w:val="HTML Code"/>
    <w:basedOn w:val="20"/>
    <w:qFormat/>
    <w:uiPriority w:val="0"/>
    <w:rPr>
      <w:rFonts w:hint="default" w:ascii="monospace" w:hAnsi="monospace" w:eastAsia="monospace" w:cs="monospace"/>
      <w:sz w:val="20"/>
    </w:rPr>
  </w:style>
  <w:style w:type="character" w:styleId="31">
    <w:name w:val="HTML Cite"/>
    <w:basedOn w:val="20"/>
    <w:qFormat/>
    <w:uiPriority w:val="0"/>
  </w:style>
  <w:style w:type="character" w:styleId="32">
    <w:name w:val="HTML Keyboard"/>
    <w:basedOn w:val="20"/>
    <w:qFormat/>
    <w:uiPriority w:val="0"/>
    <w:rPr>
      <w:rFonts w:hint="default" w:ascii="monospace" w:hAnsi="monospace" w:eastAsia="monospace" w:cs="monospace"/>
      <w:sz w:val="20"/>
    </w:rPr>
  </w:style>
  <w:style w:type="character" w:styleId="33">
    <w:name w:val="HTML Sample"/>
    <w:basedOn w:val="20"/>
    <w:qFormat/>
    <w:uiPriority w:val="0"/>
    <w:rPr>
      <w:rFonts w:ascii="monospace" w:hAnsi="monospace" w:eastAsia="monospace" w:cs="monospace"/>
    </w:rPr>
  </w:style>
  <w:style w:type="character" w:customStyle="1" w:styleId="34">
    <w:name w:val="font31"/>
    <w:basedOn w:val="20"/>
    <w:qFormat/>
    <w:uiPriority w:val="0"/>
    <w:rPr>
      <w:rFonts w:hint="eastAsia" w:ascii="宋体" w:hAnsi="宋体" w:eastAsia="宋体" w:cs="宋体"/>
      <w:color w:val="000000"/>
      <w:sz w:val="20"/>
      <w:szCs w:val="20"/>
      <w:u w:val="none"/>
    </w:rPr>
  </w:style>
  <w:style w:type="character" w:customStyle="1" w:styleId="35">
    <w:name w:val="font01"/>
    <w:basedOn w:val="20"/>
    <w:qFormat/>
    <w:uiPriority w:val="0"/>
    <w:rPr>
      <w:rFonts w:hint="eastAsia" w:ascii="宋体" w:hAnsi="宋体" w:eastAsia="宋体" w:cs="宋体"/>
      <w:color w:val="000000"/>
      <w:sz w:val="20"/>
      <w:szCs w:val="20"/>
      <w:u w:val="none"/>
      <w:vertAlign w:val="superscript"/>
    </w:rPr>
  </w:style>
  <w:style w:type="paragraph" w:customStyle="1" w:styleId="36">
    <w:name w:val="监标题3"/>
    <w:basedOn w:val="1"/>
    <w:qFormat/>
    <w:uiPriority w:val="0"/>
    <w:pPr>
      <w:spacing w:line="560" w:lineRule="exact"/>
      <w:jc w:val="center"/>
    </w:pPr>
    <w:rPr>
      <w:rFonts w:ascii="宋体" w:hAnsi="宋体"/>
      <w:b/>
      <w:color w:val="000000"/>
      <w:sz w:val="28"/>
      <w:szCs w:val="20"/>
    </w:rPr>
  </w:style>
  <w:style w:type="character" w:customStyle="1" w:styleId="37">
    <w:name w:val="font11"/>
    <w:basedOn w:val="20"/>
    <w:qFormat/>
    <w:uiPriority w:val="0"/>
    <w:rPr>
      <w:rFonts w:hint="eastAsia" w:ascii="宋体" w:hAnsi="宋体" w:eastAsia="宋体" w:cs="宋体"/>
      <w:color w:val="000000"/>
      <w:sz w:val="22"/>
      <w:szCs w:val="22"/>
      <w:u w:val="none"/>
    </w:rPr>
  </w:style>
  <w:style w:type="paragraph" w:customStyle="1" w:styleId="38">
    <w:name w:val="列出段落1"/>
    <w:basedOn w:val="1"/>
    <w:qFormat/>
    <w:uiPriority w:val="34"/>
    <w:pPr>
      <w:ind w:firstLine="420" w:firstLineChars="200"/>
    </w:pPr>
  </w:style>
  <w:style w:type="character" w:customStyle="1" w:styleId="39">
    <w:name w:val="font21"/>
    <w:basedOn w:val="20"/>
    <w:qFormat/>
    <w:uiPriority w:val="0"/>
    <w:rPr>
      <w:rFonts w:hint="eastAsia" w:ascii="宋体" w:hAnsi="宋体" w:eastAsia="宋体" w:cs="宋体"/>
      <w:color w:val="000000"/>
      <w:sz w:val="20"/>
      <w:szCs w:val="20"/>
      <w:u w:val="none"/>
      <w:vertAlign w:val="superscript"/>
    </w:rPr>
  </w:style>
  <w:style w:type="character" w:customStyle="1" w:styleId="40">
    <w:name w:val="font111"/>
    <w:basedOn w:val="20"/>
    <w:qFormat/>
    <w:uiPriority w:val="0"/>
    <w:rPr>
      <w:rFonts w:hint="eastAsia" w:ascii="宋体" w:hAnsi="宋体" w:eastAsia="宋体" w:cs="宋体"/>
      <w:color w:val="000000"/>
      <w:sz w:val="20"/>
      <w:szCs w:val="20"/>
      <w:u w:val="none"/>
      <w:vertAlign w:val="superscript"/>
    </w:rPr>
  </w:style>
  <w:style w:type="paragraph" w:styleId="41">
    <w:name w:val="List Paragraph"/>
    <w:basedOn w:val="1"/>
    <w:qFormat/>
    <w:uiPriority w:val="34"/>
    <w:pPr>
      <w:ind w:firstLine="420"/>
    </w:pPr>
  </w:style>
  <w:style w:type="character" w:customStyle="1" w:styleId="42">
    <w:name w:val="NormalCharacter"/>
    <w:qFormat/>
    <w:uiPriority w:val="0"/>
    <w:rPr>
      <w:sz w:val="20"/>
    </w:rPr>
  </w:style>
  <w:style w:type="table" w:customStyle="1" w:styleId="43">
    <w:name w:val="网格型1"/>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4">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hyperlink" Target="http://www.gzzlyy.com/uploads/soft/230827/3-230RH14Z4.docx" TargetMode="External"/><Relationship Id="rId7" Type="http://schemas.openxmlformats.org/officeDocument/2006/relationships/image" Target="media/image1.GIF"/><Relationship Id="rId6" Type="http://schemas.openxmlformats.org/officeDocument/2006/relationships/hyperlink" Target="http://www.gzzlyy.com/uploads/soft/230827/3-230RH14U0.doc"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29</Pages>
  <Words>9350</Words>
  <Characters>9699</Characters>
  <Lines>111</Lines>
  <Paragraphs>31</Paragraphs>
  <TotalTime>0</TotalTime>
  <ScaleCrop>false</ScaleCrop>
  <LinksUpToDate>false</LinksUpToDate>
  <CharactersWithSpaces>10539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2023-09-22T08:36:30Z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9757BC6343A446379646FE5D8119DCC1</vt:lpwstr>
  </property>
</Properties>
</file>