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院感系统维保服务项目</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三</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rPr>
          <w:rFonts w:hint="eastAsia" w:ascii="仿宋" w:hAnsi="仿宋" w:eastAsia="仿宋" w:cs="仿宋"/>
          <w:sz w:val="28"/>
          <w:szCs w:val="28"/>
        </w:rPr>
      </w:pPr>
    </w:p>
    <w:p>
      <w:pPr>
        <w:pStyle w:val="3"/>
        <w:rPr>
          <w:rFonts w:hint="default" w:eastAsia="仿宋"/>
          <w:b/>
          <w:bCs/>
          <w:lang w:val="en-US" w:eastAsia="zh-CN"/>
        </w:rPr>
      </w:pPr>
    </w:p>
    <w:p>
      <w:pPr>
        <w:pStyle w:val="3"/>
        <w:rPr>
          <w:rFonts w:hint="eastAsia"/>
        </w:rPr>
      </w:pPr>
    </w:p>
    <w:p>
      <w:pPr>
        <w:pStyle w:val="3"/>
        <w:rPr>
          <w:rFonts w:hint="default" w:ascii="仿宋" w:hAnsi="仿宋" w:eastAsia="仿宋" w:cs="仿宋"/>
          <w:color w:val="auto"/>
          <w:highlight w:val="none"/>
          <w:lang w:val="en-US" w:eastAsia="zh-CN"/>
        </w:rPr>
      </w:pPr>
    </w:p>
    <w:p>
      <w:pPr>
        <w:pStyle w:val="3"/>
        <w:rPr>
          <w:rFonts w:hint="eastAsia" w:ascii="仿宋" w:hAnsi="仿宋" w:eastAsia="仿宋" w:cs="仿宋"/>
          <w:color w:val="auto"/>
          <w:highlight w:val="none"/>
        </w:rPr>
      </w:pPr>
    </w:p>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pStyle w:val="2"/>
        <w:rPr>
          <w:rFonts w:hint="eastAsia" w:ascii="仿宋" w:hAnsi="仿宋" w:eastAsia="仿宋" w:cs="仿宋"/>
          <w:color w:val="auto"/>
          <w:sz w:val="84"/>
          <w:szCs w:val="84"/>
          <w:highlight w:val="none"/>
          <w:lang w:eastAsia="zh-CN"/>
        </w:rPr>
      </w:pPr>
    </w:p>
    <w:p>
      <w:pPr>
        <w:pStyle w:val="3"/>
        <w:rPr>
          <w:rFonts w:hint="eastAsia"/>
          <w:lang w:eastAsia="zh-CN"/>
        </w:rPr>
      </w:pPr>
    </w:p>
    <w:p>
      <w:pPr>
        <w:pStyle w:val="9"/>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center"/>
        <w:rPr>
          <w:rFonts w:hint="eastAsia" w:ascii="仿宋" w:hAnsi="仿宋" w:eastAsia="仿宋" w:cs="仿宋"/>
          <w:color w:val="auto"/>
          <w:highlight w:val="none"/>
        </w:rPr>
      </w:pPr>
      <w:bookmarkStart w:id="0" w:name="_Toc919"/>
      <w:bookmarkStart w:id="1" w:name="_Toc5315"/>
    </w:p>
    <w:p>
      <w:pPr>
        <w:pStyle w:val="5"/>
        <w:spacing w:before="0" w:after="0" w:line="460" w:lineRule="exact"/>
        <w:ind w:left="0" w:leftChars="0" w:firstLine="0" w:firstLineChars="0"/>
        <w:jc w:val="both"/>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0"/>
      <w:bookmarkEnd w:id="1"/>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 w:name="_Toc331493648"/>
      <w:bookmarkStart w:id="3" w:name="_Toc413396840"/>
      <w:bookmarkStart w:id="4" w:name="_Toc19814"/>
      <w:bookmarkStart w:id="5" w:name="_Toc22759"/>
    </w:p>
    <w:p>
      <w:pPr>
        <w:rPr>
          <w:rFonts w:hint="eastAsia" w:ascii="仿宋" w:hAnsi="仿宋" w:eastAsia="仿宋" w:cs="仿宋"/>
          <w:color w:val="auto"/>
          <w:highlight w:val="none"/>
        </w:rPr>
      </w:pPr>
    </w:p>
    <w:bookmarkEnd w:id="2"/>
    <w:bookmarkEnd w:id="3"/>
    <w:bookmarkEnd w:id="4"/>
    <w:bookmarkEnd w:id="5"/>
    <w:p>
      <w:pPr>
        <w:pStyle w:val="5"/>
        <w:ind w:left="0" w:leftChars="0" w:firstLine="0" w:firstLineChars="0"/>
        <w:jc w:val="center"/>
        <w:rPr>
          <w:rFonts w:hint="eastAsia" w:ascii="仿宋" w:hAnsi="仿宋" w:eastAsia="仿宋" w:cs="仿宋"/>
          <w:color w:val="auto"/>
          <w:kern w:val="0"/>
          <w:highlight w:val="none"/>
        </w:rPr>
      </w:pPr>
      <w:bookmarkStart w:id="6" w:name="_Toc480191543"/>
      <w:bookmarkStart w:id="7" w:name="_Toc485736232"/>
      <w:bookmarkStart w:id="8" w:name="_Toc1161"/>
      <w:bookmarkStart w:id="9" w:name="_Toc413396845"/>
      <w:bookmarkStart w:id="10" w:name="_Toc331493653"/>
      <w:bookmarkStart w:id="11" w:name="_Toc6176"/>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w:t>
      </w:r>
      <w:r>
        <w:rPr>
          <w:rFonts w:hint="eastAsia" w:ascii="仿宋" w:hAnsi="仿宋" w:eastAsia="仿宋" w:cs="仿宋"/>
          <w:color w:val="auto"/>
          <w:kern w:val="0"/>
          <w:highlight w:val="none"/>
          <w:lang w:val="en-US" w:eastAsia="zh-CN"/>
        </w:rPr>
        <w:t>\服务</w:t>
      </w:r>
      <w:r>
        <w:rPr>
          <w:rFonts w:hint="eastAsia" w:ascii="仿宋" w:hAnsi="仿宋" w:eastAsia="仿宋" w:cs="仿宋"/>
          <w:color w:val="auto"/>
          <w:kern w:val="0"/>
          <w:highlight w:val="none"/>
        </w:rPr>
        <w:t>报价一览表</w:t>
      </w:r>
      <w:bookmarkEnd w:id="6"/>
      <w:bookmarkEnd w:id="7"/>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2"/>
        <w:rPr>
          <w:rFonts w:hint="eastAsia" w:ascii="仿宋" w:hAnsi="仿宋" w:eastAsia="仿宋" w:cs="仿宋"/>
          <w:color w:val="auto"/>
          <w:highlight w:val="none"/>
        </w:rPr>
      </w:pPr>
    </w:p>
    <w:tbl>
      <w:tblPr>
        <w:tblStyle w:val="17"/>
        <w:tblW w:w="6178"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245"/>
        <w:gridCol w:w="1294"/>
        <w:gridCol w:w="1213"/>
        <w:gridCol w:w="1213"/>
        <w:gridCol w:w="12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82" w:hRule="atLeast"/>
          <w:tblCellSpacing w:w="0" w:type="dxa"/>
          <w:jc w:val="center"/>
        </w:trPr>
        <w:tc>
          <w:tcPr>
            <w:tcW w:w="124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名称</w:t>
            </w:r>
          </w:p>
        </w:tc>
        <w:tc>
          <w:tcPr>
            <w:tcW w:w="1294"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w:t>
            </w:r>
          </w:p>
        </w:tc>
        <w:tc>
          <w:tcPr>
            <w:tcW w:w="1213" w:type="dxa"/>
            <w:noWrap w:val="0"/>
            <w:vAlign w:val="center"/>
          </w:tcPr>
          <w:p>
            <w:pPr>
              <w:widowControl/>
              <w:snapToGrid w:val="0"/>
              <w:jc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单位</w:t>
            </w:r>
          </w:p>
        </w:tc>
        <w:tc>
          <w:tcPr>
            <w:tcW w:w="1213"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rPr>
              <w:t>（万元）</w:t>
            </w:r>
          </w:p>
        </w:tc>
        <w:tc>
          <w:tcPr>
            <w:tcW w:w="1213"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32" w:hRule="atLeast"/>
          <w:tblCellSpacing w:w="0" w:type="dxa"/>
          <w:jc w:val="center"/>
        </w:trPr>
        <w:tc>
          <w:tcPr>
            <w:tcW w:w="12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94"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3"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3"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3"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bookmarkStart w:id="42" w:name="_GoBack"/>
      <w:bookmarkEnd w:id="42"/>
    </w:p>
    <w:p>
      <w:pPr>
        <w:rPr>
          <w:rFonts w:hint="eastAsia" w:ascii="仿宋" w:hAnsi="仿宋" w:eastAsia="仿宋" w:cs="仿宋"/>
          <w:color w:val="auto"/>
          <w:kern w:val="0"/>
          <w:highlight w:val="none"/>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bookmarkEnd w:id="8"/>
    <w:bookmarkEnd w:id="9"/>
    <w:bookmarkEnd w:id="10"/>
    <w:bookmarkEnd w:id="11"/>
    <w:p>
      <w:pPr>
        <w:pStyle w:val="5"/>
        <w:spacing w:before="0" w:after="0" w:line="460" w:lineRule="exact"/>
        <w:ind w:firstLine="0"/>
        <w:jc w:val="both"/>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12" w:name="_Toc23201"/>
      <w:bookmarkStart w:id="13" w:name="_Toc413396854"/>
      <w:bookmarkStart w:id="14" w:name="_Toc7073"/>
    </w:p>
    <w:p>
      <w:pPr>
        <w:keepNext/>
        <w:keepLines/>
        <w:spacing w:before="260" w:after="260" w:line="413" w:lineRule="auto"/>
        <w:ind w:firstLine="628"/>
        <w:jc w:val="center"/>
        <w:outlineLvl w:val="1"/>
        <w:rPr>
          <w:rFonts w:ascii="Arial" w:hAnsi="Arial" w:eastAsia="黑体"/>
          <w:b/>
          <w:bCs/>
          <w:color w:val="auto"/>
          <w:sz w:val="32"/>
          <w:szCs w:val="32"/>
          <w:highlight w:val="none"/>
        </w:rPr>
      </w:pPr>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bookmarkEnd w:id="12"/>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15"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15"/>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16" w:name="_Toc3874"/>
      <w:bookmarkStart w:id="17" w:name="_Toc423337568"/>
      <w:bookmarkStart w:id="18" w:name="_Toc469749011"/>
      <w:r>
        <w:rPr>
          <w:rFonts w:ascii="Arial" w:hAnsi="Arial" w:eastAsia="黑体"/>
          <w:b/>
          <w:bCs/>
          <w:sz w:val="32"/>
          <w:szCs w:val="32"/>
          <w:highlight w:val="none"/>
        </w:rPr>
        <w:t>5.</w:t>
      </w:r>
      <w:r>
        <w:rPr>
          <w:rFonts w:hint="eastAsia" w:ascii="Arial" w:hAnsi="Arial" w:eastAsia="黑体"/>
          <w:b/>
          <w:bCs/>
          <w:sz w:val="32"/>
          <w:szCs w:val="32"/>
          <w:highlight w:val="none"/>
        </w:rPr>
        <w:t>技术文件</w:t>
      </w:r>
      <w:bookmarkEnd w:id="16"/>
      <w:bookmarkEnd w:id="17"/>
      <w:bookmarkEnd w:id="18"/>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内容包括：</w:t>
      </w:r>
    </w:p>
    <w:p>
      <w:pPr>
        <w:spacing w:line="500" w:lineRule="exact"/>
        <w:ind w:firstLine="500" w:firstLineChars="200"/>
        <w:rPr>
          <w:rFonts w:ascii="宋体" w:hAnsi="宋体"/>
          <w:color w:val="auto"/>
          <w:sz w:val="25"/>
          <w:szCs w:val="25"/>
          <w:highlight w:val="none"/>
        </w:rPr>
      </w:pPr>
      <w:r>
        <w:rPr>
          <w:rFonts w:hint="eastAsia" w:ascii="宋体" w:hAnsi="宋体"/>
          <w:sz w:val="25"/>
          <w:szCs w:val="25"/>
          <w:highlight w:val="none"/>
        </w:rPr>
        <w:t>1、货物的技术</w:t>
      </w:r>
      <w:r>
        <w:rPr>
          <w:rFonts w:hint="eastAsia" w:ascii="宋体" w:hAnsi="宋体"/>
          <w:color w:val="auto"/>
          <w:sz w:val="25"/>
          <w:szCs w:val="25"/>
          <w:highlight w:val="none"/>
        </w:rPr>
        <w:t>规格与功能的详细说明</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2、主要外购件、配套件的型号规格和制造商明细表</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3、标准附件、备品备件和专用工具等</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4、常用的、容易损坏的备品备件及易损件的价格清单等</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5、响应供应商认为需要说明的其他内容（响应供应商视需要自行编写）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19" w:name="_Toc423337570"/>
      <w:bookmarkStart w:id="20" w:name="_Toc23487"/>
      <w:bookmarkStart w:id="21" w:name="_Toc469749013"/>
      <w:r>
        <w:rPr>
          <w:rFonts w:ascii="Arial" w:hAnsi="Arial" w:eastAsia="黑体"/>
          <w:b/>
          <w:bCs/>
          <w:sz w:val="32"/>
          <w:szCs w:val="32"/>
          <w:highlight w:val="none"/>
        </w:rPr>
        <w:t>6</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19"/>
      <w:bookmarkEnd w:id="20"/>
      <w:bookmarkEnd w:id="21"/>
    </w:p>
    <w:p>
      <w:pPr>
        <w:spacing w:line="500" w:lineRule="exact"/>
        <w:ind w:firstLine="1250" w:firstLineChars="500"/>
        <w:rPr>
          <w:rFonts w:hint="eastAsia" w:ascii="宋体" w:hAnsi="宋体"/>
          <w:sz w:val="25"/>
          <w:szCs w:val="25"/>
          <w:highlight w:val="none"/>
        </w:rPr>
      </w:pPr>
      <w:bookmarkStart w:id="22" w:name="_Toc417890583"/>
      <w:bookmarkStart w:id="23" w:name="_Toc423337571"/>
      <w:bookmarkStart w:id="24"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2"/>
        <w:rPr>
          <w:rFonts w:hint="eastAsia"/>
          <w:highlight w:val="none"/>
        </w:rPr>
      </w:pPr>
    </w:p>
    <w:bookmarkEnd w:id="22"/>
    <w:bookmarkEnd w:id="23"/>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25" w:name="_Toc423357540"/>
      <w:bookmarkStart w:id="26" w:name="_Toc24750"/>
      <w:bookmarkStart w:id="27" w:name="_Toc469749014"/>
      <w:r>
        <w:rPr>
          <w:rFonts w:hint="eastAsia" w:ascii="Arial" w:hAnsi="Arial" w:eastAsia="黑体"/>
          <w:b/>
          <w:bCs/>
          <w:sz w:val="32"/>
          <w:szCs w:val="32"/>
          <w:highlight w:val="none"/>
        </w:rPr>
        <w:t>7</w:t>
      </w:r>
      <w:bookmarkEnd w:id="25"/>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26"/>
      <w:bookmarkEnd w:id="27"/>
      <w:r>
        <w:rPr>
          <w:rFonts w:ascii="Arial" w:hAnsi="Arial" w:eastAsia="黑体"/>
          <w:b/>
          <w:bCs/>
          <w:sz w:val="32"/>
          <w:szCs w:val="32"/>
          <w:highlight w:val="none"/>
        </w:rPr>
        <w:t xml:space="preserve"> </w:t>
      </w:r>
    </w:p>
    <w:bookmarkEnd w:id="24"/>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highlight w:val="none"/>
          <w:lang w:eastAsia="zh-CN"/>
        </w:rPr>
      </w:pPr>
      <w:bookmarkStart w:id="28" w:name="_Toc25526"/>
    </w:p>
    <w:p>
      <w:pPr>
        <w:pStyle w:val="5"/>
        <w:rPr>
          <w:rFonts w:hint="eastAsia"/>
          <w:highlight w:val="none"/>
        </w:rPr>
      </w:pPr>
      <w:bookmarkStart w:id="29" w:name="_Toc31359"/>
      <w:r>
        <w:rPr>
          <w:rFonts w:hint="eastAsia"/>
          <w:highlight w:val="none"/>
          <w:lang w:eastAsia="zh-CN"/>
        </w:rPr>
        <w:t>8.</w:t>
      </w:r>
      <w:r>
        <w:rPr>
          <w:rFonts w:hint="eastAsia"/>
          <w:highlight w:val="none"/>
        </w:rPr>
        <w:t>依法缴纳税收证明</w:t>
      </w:r>
      <w:bookmarkEnd w:id="28"/>
      <w:bookmarkEnd w:id="29"/>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2"/>
        <w:rPr>
          <w:rFonts w:hint="eastAsia" w:ascii="宋体" w:hAnsi="宋体"/>
          <w:sz w:val="25"/>
          <w:szCs w:val="25"/>
          <w:highlight w:val="none"/>
        </w:rPr>
      </w:pPr>
    </w:p>
    <w:p>
      <w:pPr>
        <w:pStyle w:val="5"/>
        <w:rPr>
          <w:rFonts w:hint="eastAsia"/>
          <w:highlight w:val="none"/>
          <w:lang w:eastAsia="zh-CN"/>
        </w:rPr>
      </w:pPr>
      <w:bookmarkStart w:id="30" w:name="_Toc4678"/>
    </w:p>
    <w:p>
      <w:pPr>
        <w:pStyle w:val="5"/>
        <w:rPr>
          <w:rFonts w:hint="eastAsia"/>
          <w:highlight w:val="none"/>
        </w:rPr>
      </w:pPr>
      <w:bookmarkStart w:id="31" w:name="_Toc14430"/>
      <w:r>
        <w:rPr>
          <w:rFonts w:hint="eastAsia"/>
          <w:highlight w:val="none"/>
          <w:lang w:eastAsia="zh-CN"/>
        </w:rPr>
        <w:t>9.</w:t>
      </w:r>
      <w:r>
        <w:rPr>
          <w:rFonts w:hint="eastAsia"/>
          <w:highlight w:val="none"/>
        </w:rPr>
        <w:t>依法缴纳社会保障资金的相关材料</w:t>
      </w:r>
      <w:bookmarkEnd w:id="30"/>
      <w:bookmarkEnd w:id="31"/>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pStyle w:val="5"/>
        <w:ind w:left="0" w:leftChars="0" w:firstLine="0" w:firstLineChars="0"/>
        <w:jc w:val="both"/>
        <w:rPr>
          <w:rFonts w:hint="eastAsia"/>
          <w:color w:val="auto"/>
          <w:highlight w:val="none"/>
        </w:rPr>
      </w:pPr>
      <w:bookmarkStart w:id="32" w:name="_Toc3387"/>
      <w:bookmarkStart w:id="33" w:name="_Toc26349"/>
      <w:r>
        <w:rPr>
          <w:b w:val="0"/>
          <w:bCs w:val="0"/>
          <w:color w:val="auto"/>
          <w:highlight w:val="none"/>
        </w:rPr>
        <w:t>10</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32"/>
      <w:bookmarkEnd w:id="33"/>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34" w:name="_Toc4577"/>
      <w:bookmarkStart w:id="35" w:name="_Toc225"/>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34"/>
      <w:bookmarkEnd w:id="35"/>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keepNext/>
        <w:keepLines/>
        <w:spacing w:before="260" w:after="260" w:line="413" w:lineRule="auto"/>
        <w:jc w:val="both"/>
        <w:outlineLvl w:val="1"/>
        <w:rPr>
          <w:rFonts w:ascii="Arial" w:hAnsi="Arial" w:eastAsia="黑体"/>
          <w:b/>
          <w:bCs/>
          <w:color w:val="auto"/>
          <w:sz w:val="32"/>
          <w:szCs w:val="32"/>
          <w:highlight w:val="none"/>
        </w:rPr>
      </w:pPr>
      <w:bookmarkStart w:id="36" w:name="_Toc423337575"/>
      <w:bookmarkStart w:id="37" w:name="_Toc11819"/>
      <w:bookmarkStart w:id="38" w:name="_Toc469749018"/>
    </w:p>
    <w:p>
      <w:pPr>
        <w:keepNext/>
        <w:keepLines/>
        <w:spacing w:before="260" w:after="260" w:line="413" w:lineRule="auto"/>
        <w:jc w:val="both"/>
        <w:outlineLvl w:val="1"/>
        <w:rPr>
          <w:rFonts w:ascii="Arial" w:hAnsi="Arial" w:eastAsia="黑体"/>
          <w:b/>
          <w:bCs/>
          <w:color w:val="auto"/>
          <w:sz w:val="32"/>
          <w:szCs w:val="32"/>
          <w:highlight w:val="none"/>
        </w:rPr>
      </w:pPr>
      <w:r>
        <w:rPr>
          <w:rFonts w:ascii="Arial" w:hAnsi="Arial" w:eastAsia="黑体"/>
          <w:b/>
          <w:bCs/>
          <w:color w:val="auto"/>
          <w:sz w:val="32"/>
          <w:szCs w:val="32"/>
          <w:highlight w:val="none"/>
        </w:rPr>
        <w:t>11</w:t>
      </w:r>
      <w:r>
        <w:rPr>
          <w:rFonts w:hint="eastAsia" w:ascii="Arial" w:hAnsi="Arial" w:eastAsia="黑体"/>
          <w:b/>
          <w:bCs/>
          <w:color w:val="auto"/>
          <w:sz w:val="32"/>
          <w:szCs w:val="32"/>
          <w:highlight w:val="none"/>
        </w:rPr>
        <w:t>.法定代表人（经营者、单位负责人）授权书（格式）</w:t>
      </w:r>
      <w:bookmarkEnd w:id="36"/>
      <w:bookmarkEnd w:id="37"/>
      <w:bookmarkEnd w:id="38"/>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7"/>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39" w:name="_Toc423337576"/>
    </w:p>
    <w:p>
      <w:pPr>
        <w:pStyle w:val="5"/>
        <w:ind w:left="0" w:leftChars="0" w:firstLine="0" w:firstLineChars="0"/>
        <w:jc w:val="both"/>
        <w:rPr>
          <w:highlight w:val="none"/>
        </w:rPr>
      </w:pPr>
      <w:r>
        <w:rPr>
          <w:rFonts w:ascii="宋体" w:hAnsi="宋体"/>
          <w:sz w:val="25"/>
          <w:szCs w:val="25"/>
          <w:highlight w:val="none"/>
        </w:rPr>
        <w:br w:type="page"/>
      </w:r>
      <w:bookmarkStart w:id="40" w:name="_Toc469749019"/>
      <w:bookmarkStart w:id="41" w:name="_Toc32460"/>
      <w:r>
        <w:rPr>
          <w:rFonts w:ascii="Arial" w:hAnsi="Arial" w:eastAsia="黑体"/>
          <w:b w:val="0"/>
          <w:bCs w:val="0"/>
          <w:sz w:val="32"/>
          <w:szCs w:val="32"/>
          <w:highlight w:val="none"/>
        </w:rPr>
        <w:t>1</w:t>
      </w:r>
      <w:r>
        <w:rPr>
          <w:rFonts w:hint="eastAsia" w:ascii="Arial" w:hAnsi="Arial" w:eastAsia="黑体"/>
          <w:b w:val="0"/>
          <w:bCs w:val="0"/>
          <w:sz w:val="32"/>
          <w:szCs w:val="32"/>
          <w:highlight w:val="none"/>
          <w:lang w:val="en-US" w:eastAsia="zh-CN"/>
        </w:rPr>
        <w:t>2</w:t>
      </w:r>
      <w:r>
        <w:rPr>
          <w:rFonts w:hint="eastAsia" w:ascii="Arial" w:hAnsi="Arial" w:eastAsia="黑体"/>
          <w:b w:val="0"/>
          <w:bCs w:val="0"/>
          <w:sz w:val="32"/>
          <w:szCs w:val="32"/>
          <w:highlight w:val="none"/>
        </w:rPr>
        <w:t>.</w:t>
      </w:r>
      <w:bookmarkEnd w:id="39"/>
      <w:bookmarkEnd w:id="40"/>
      <w:r>
        <w:rPr>
          <w:rFonts w:hint="eastAsia"/>
          <w:highlight w:val="none"/>
          <w:lang w:eastAsia="zh-CN"/>
        </w:rPr>
        <w:t>基本资格条件承诺函</w:t>
      </w:r>
      <w:r>
        <w:rPr>
          <w:rFonts w:hint="eastAsia"/>
          <w:highlight w:val="none"/>
        </w:rPr>
        <w:t>（格式）</w:t>
      </w:r>
      <w:bookmarkEnd w:id="41"/>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13"/>
    <w:bookmarkEnd w:id="14"/>
    <w:p>
      <w:pPr>
        <w:spacing w:line="500" w:lineRule="exact"/>
        <w:ind w:firstLine="2310" w:firstLineChars="1100"/>
        <w:rPr>
          <w:rFonts w:hint="eastAsia" w:ascii="仿宋" w:hAnsi="仿宋" w:eastAsia="仿宋" w:cs="仿宋"/>
          <w:color w:val="auto"/>
          <w:highlight w:val="none"/>
        </w:rPr>
      </w:pPr>
    </w:p>
    <w:sectPr>
      <w:headerReference r:id="rId3" w:type="default"/>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TE1NmIwNTk3ZjY4YTJkNTkxMWVmZjIwODk0NmI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5CF5CE9"/>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0A94"/>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031106"/>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71954"/>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14B47"/>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605F3"/>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semiHidden/>
    <w:unhideWhenUsed/>
    <w:qFormat/>
    <w:uiPriority w:val="0"/>
    <w:pPr>
      <w:jc w:val="left"/>
      <w:outlineLvl w:val="2"/>
    </w:pPr>
    <w:rPr>
      <w:rFonts w:hint="eastAsia" w:ascii="宋体" w:hAnsi="宋体"/>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Arial" w:hAnsi="Arial" w:eastAsia="楷体_GB2312"/>
      <w:b/>
      <w:lang w:eastAsia="en-US"/>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paragraph" w:styleId="16">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0"/>
    <w:rPr>
      <w:b/>
      <w:sz w:val="24"/>
      <w:szCs w:val="24"/>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dr w:val="single" w:color="D6D6D6" w:sz="6" w:space="0"/>
      <w:shd w:val="clear" w:color="auto" w:fill="F9F9F9"/>
    </w:rPr>
  </w:style>
  <w:style w:type="character" w:styleId="24">
    <w:name w:val="HTML Definition"/>
    <w:basedOn w:val="19"/>
    <w:qFormat/>
    <w:uiPriority w:val="0"/>
    <w:rPr>
      <w:color w:val="FFFFFF"/>
      <w:shd w:val="clear" w:color="auto" w:fill="048FD2"/>
    </w:rPr>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ascii="monospace" w:hAnsi="monospace" w:eastAsia="monospace" w:cs="monospace"/>
    </w:rPr>
  </w:style>
  <w:style w:type="character" w:customStyle="1" w:styleId="33">
    <w:name w:val="font31"/>
    <w:basedOn w:val="19"/>
    <w:qFormat/>
    <w:uiPriority w:val="0"/>
    <w:rPr>
      <w:rFonts w:hint="eastAsia" w:ascii="宋体" w:hAnsi="宋体" w:eastAsia="宋体" w:cs="宋体"/>
      <w:color w:val="000000"/>
      <w:sz w:val="20"/>
      <w:szCs w:val="20"/>
      <w:u w:val="none"/>
    </w:rPr>
  </w:style>
  <w:style w:type="character" w:customStyle="1" w:styleId="34">
    <w:name w:val="font01"/>
    <w:basedOn w:val="19"/>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9"/>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9"/>
    <w:qFormat/>
    <w:uiPriority w:val="0"/>
    <w:rPr>
      <w:rFonts w:hint="eastAsia" w:ascii="宋体" w:hAnsi="宋体" w:eastAsia="宋体" w:cs="宋体"/>
      <w:color w:val="000000"/>
      <w:sz w:val="20"/>
      <w:szCs w:val="20"/>
      <w:u w:val="none"/>
      <w:vertAlign w:val="superscript"/>
    </w:rPr>
  </w:style>
  <w:style w:type="character" w:customStyle="1" w:styleId="39">
    <w:name w:val="font111"/>
    <w:basedOn w:val="19"/>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 w:type="table" w:customStyle="1" w:styleId="42">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
    <w:name w:val="Other|1"/>
    <w:basedOn w:val="1"/>
    <w:qFormat/>
    <w:uiPriority w:val="0"/>
    <w:pPr>
      <w:spacing w:line="448" w:lineRule="auto"/>
      <w:ind w:firstLine="400" w:firstLineChars="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32</Pages>
  <Words>9986</Words>
  <Characters>10450</Characters>
  <Lines>111</Lines>
  <Paragraphs>31</Paragraphs>
  <TotalTime>3</TotalTime>
  <ScaleCrop>false</ScaleCrop>
  <LinksUpToDate>false</LinksUpToDate>
  <CharactersWithSpaces>11325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游龙跃</cp:lastModifiedBy>
  <cp:lastPrinted>2021-06-22T07:03:00Z</cp:lastPrinted>
  <dcterms:modified xsi:type="dcterms:W3CDTF">2023-07-26T07:58:12Z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9757BC6343A446379646FE5D8119DCC1</vt:lpwstr>
  </property>
</Properties>
</file>