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输液泵项目</w:t>
      </w:r>
    </w:p>
    <w:p>
      <w:pPr>
        <w:pStyle w:val="10"/>
        <w:rPr>
          <w:rFonts w:hint="eastAsia" w:ascii="仿宋" w:hAnsi="仿宋" w:eastAsia="仿宋" w:cs="仿宋"/>
          <w:color w:val="auto"/>
          <w:highlight w:val="none"/>
        </w:rPr>
      </w:pPr>
      <w:bookmarkStart w:id="63" w:name="_GoBack"/>
      <w:bookmarkEnd w:id="63"/>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赣州市肿瘤医院就输液泵项目进行竞争性谈判，现欢迎符合资格条件的供应商前来参加。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SB2023-0505</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0"/>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0"/>
          <w:rFonts w:hint="eastAsia" w:ascii="仿宋" w:hAnsi="仿宋" w:eastAsia="仿宋" w:cs="仿宋"/>
          <w:b/>
          <w:bCs/>
          <w:i w:val="0"/>
          <w:iCs w:val="0"/>
          <w:caps w:val="0"/>
          <w:color w:val="auto"/>
          <w:spacing w:val="0"/>
          <w:kern w:val="0"/>
          <w:sz w:val="28"/>
          <w:szCs w:val="28"/>
          <w:lang w:val="en-US" w:eastAsia="zh-CN" w:bidi="ar"/>
        </w:rPr>
        <w:t>三、采购内容：</w:t>
      </w:r>
    </w:p>
    <w:tbl>
      <w:tblPr>
        <w:tblStyle w:val="17"/>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kern w:val="0"/>
                <w:sz w:val="28"/>
                <w:szCs w:val="28"/>
                <w:lang w:val="en-US" w:eastAsia="zh-CN" w:bidi="ar"/>
              </w:rPr>
              <w:t>输液泵</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6</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58800</w:t>
            </w:r>
          </w:p>
        </w:tc>
        <w:tc>
          <w:tcPr>
            <w:tcW w:w="1340" w:type="dxa"/>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bl>
    <w:p>
      <w:pPr>
        <w:keepNext w:val="0"/>
        <w:keepLines w:val="0"/>
        <w:widowControl/>
        <w:numPr>
          <w:ilvl w:val="0"/>
          <w:numId w:val="2"/>
        </w:numPr>
        <w:suppressLineNumbers w:val="0"/>
        <w:ind w:left="240" w:hanging="281" w:hangingChars="1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0"/>
        </w:numPr>
        <w:suppressLineNumbers w:val="0"/>
        <w:ind w:leftChars="-100" w:firstLine="562"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五、响应供应商的资格要求：</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5、其他资格条件：</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ind w:leftChars="-100" w:firstLine="560"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六、</w:t>
      </w:r>
      <w:r>
        <w:rPr>
          <w:rStyle w:val="20"/>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本次竞争性谈判活动采用邮箱报名，不需要到现场报名，供应商须将报名表、营业执照扫描件于2023年5月30日下午17:00之前发送到到电子邮箱gzszlyycgb@126.com。如有疑问，请拨打电话0797-8105097 晏女士，0797-8287110 曾先生。</w:t>
      </w:r>
    </w:p>
    <w:p>
      <w:pPr>
        <w:keepNext w:val="0"/>
        <w:keepLines w:val="0"/>
        <w:widowControl/>
        <w:numPr>
          <w:ilvl w:val="0"/>
          <w:numId w:val="0"/>
        </w:numPr>
        <w:suppressLineNumbers w:val="0"/>
        <w:ind w:leftChars="-100" w:firstLine="562" w:firstLineChars="20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现场响应截止时间：2023年5月31日（星期三）上午9：30。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八、履约保证金及退回方式：</w:t>
      </w:r>
    </w:p>
    <w:p>
      <w:pPr>
        <w:keepNext w:val="0"/>
        <w:keepLines w:val="0"/>
        <w:widowControl/>
        <w:suppressLineNumbers w:val="0"/>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九、付款方式：</w:t>
      </w:r>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合同签订、货物送达、安装调试、培训完成且验收合格,收到符合国家法律规定的税票后30天内支付合同总额的100%。</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联系人：游龙跃</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8"/>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2023年5月26日</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361733090"/>
      <w:bookmarkStart w:id="9"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4"/>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三、项目概况及采购需求</w:t>
      </w:r>
    </w:p>
    <w:p>
      <w:pPr>
        <w:spacing w:line="276" w:lineRule="auto"/>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（一）输液泵采购需求</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支持输血功能</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支持临床常用输血管路，无需专用输血管路</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支持肠内营养液输液功能</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输液精度≤±5%</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预置输液总量范围：0.1-9999.99ml</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快进流速范围：0.1-2000ml/h，具有自动和手动快进可选；</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可自动统计四种累计量：24h累计量、最近累计量、自定义时间段累计量、定时间隔累计量</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全自动止液夹，安装或取出输液管时，无需任何操作，止液夹可自动关闭或打开</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无需额外工具或设备，可直接在输液泵添加输液器品牌名称</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9种输液模式：速度模式、时间模式、体重模式、梯度模式、序列模式、剂量时间模式、微量模式、点滴模式、和间断给药模式；具备联机功能</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不小于3.5英寸彩色显示屏，电容触摸屏技术，支持上下左右滑动操作</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全中文软件操作界面</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锁屏功能：支持自动锁屏，自动锁屏时间可调</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支持药物库，可储存5000种药物信息。</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报警时可通过示意图片直观提示报警信息</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在线动态压力监测，可实时显示当前压力数值；</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压力报警阈值至少15档可调，最低50mmHg</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具备阻塞前预警提示功能，当管路压力未触发阻塞报警时，泵可自动识别压力上升并在屏幕上进行提示</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具备阻塞后自动重启输液功能，短暂性阻塞触发报警后，泵检测到阻塞压力缓解时，无需人为干预，泵自动重新启动输液</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具备双压力传感器，可检测管路上下端的压力变化</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具备双超声气泡检测技术，双重保障，防止气泡漏检漏报问题</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具备单个气泡和累积气泡报警功能，支持最小15μL的单个气泡报警</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无需滴数传感器，泵可自动识别空瓶状态并报警</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信息储存：可存储3500条的历史记录</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电池工作时间≥5小时@25ml/h</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防异物及进液等级IP33</w:t>
      </w:r>
    </w:p>
    <w:p>
      <w:pPr>
        <w:pStyle w:val="40"/>
        <w:numPr>
          <w:ilvl w:val="0"/>
          <w:numId w:val="3"/>
        </w:numPr>
        <w:ind w:firstLineChars="0"/>
        <w:rPr>
          <w:rFonts w:hint="eastAsia" w:ascii="仿宋" w:hAnsi="仿宋" w:eastAsia="仿宋" w:cs="仿宋"/>
          <w:sz w:val="28"/>
          <w:szCs w:val="28"/>
        </w:rPr>
      </w:pPr>
      <w:r>
        <w:rPr>
          <w:rFonts w:hint="eastAsia" w:ascii="仿宋" w:hAnsi="仿宋" w:eastAsia="仿宋" w:cs="仿宋"/>
          <w:sz w:val="28"/>
          <w:szCs w:val="28"/>
        </w:rPr>
        <w:t>每4-6个输液泵配置一个4通道或6通道输液管理系统。</w:t>
      </w:r>
    </w:p>
    <w:p>
      <w:pPr>
        <w:pStyle w:val="40"/>
        <w:numPr>
          <w:ilvl w:val="0"/>
          <w:numId w:val="3"/>
        </w:numPr>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支持药物色彩标识，选择不同类型药物时对应的药物色彩标识自动显示在屏幕上，支持10种以上颜色。</w:t>
      </w:r>
    </w:p>
    <w:p>
      <w:pPr>
        <w:pStyle w:val="40"/>
        <w:numPr>
          <w:ilvl w:val="0"/>
          <w:numId w:val="3"/>
        </w:numPr>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快进流速范围：0.1-2300ml/h，具有自动和手动快进可选。</w:t>
      </w:r>
    </w:p>
    <w:p>
      <w:pPr>
        <w:pStyle w:val="40"/>
        <w:ind w:firstLine="0" w:firstLineChars="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、主要配置清单</w:t>
      </w:r>
    </w:p>
    <w:p>
      <w:pPr>
        <w:jc w:val="left"/>
        <w:rPr>
          <w:rFonts w:hint="eastAsia" w:ascii="仿宋" w:hAnsi="仿宋" w:eastAsia="仿宋" w:cs="仿宋"/>
          <w:bCs/>
          <w:sz w:val="28"/>
          <w:szCs w:val="28"/>
        </w:rPr>
      </w:pPr>
      <w:r>
        <w:rPr>
          <w:rFonts w:hint="eastAsia" w:ascii="仿宋" w:hAnsi="仿宋" w:eastAsia="仿宋" w:cs="仿宋"/>
          <w:bCs/>
          <w:sz w:val="28"/>
          <w:szCs w:val="28"/>
        </w:rPr>
        <w:t>输液泵</w:t>
      </w:r>
      <w:r>
        <w:rPr>
          <w:rFonts w:hint="eastAsia" w:ascii="仿宋" w:hAnsi="仿宋" w:eastAsia="仿宋" w:cs="仿宋"/>
          <w:sz w:val="28"/>
          <w:szCs w:val="28"/>
        </w:rPr>
        <w:tab/>
      </w:r>
      <w:r>
        <w:rPr>
          <w:rFonts w:hint="eastAsia" w:ascii="仿宋" w:hAnsi="仿宋" w:eastAsia="仿宋" w:cs="仿宋"/>
          <w:bCs/>
          <w:sz w:val="28"/>
          <w:szCs w:val="28"/>
        </w:rPr>
        <w:t>1台</w:t>
      </w:r>
    </w:p>
    <w:p>
      <w:pPr>
        <w:jc w:val="left"/>
        <w:rPr>
          <w:rFonts w:hint="eastAsia" w:ascii="仿宋" w:hAnsi="仿宋" w:eastAsia="仿宋" w:cs="仿宋"/>
          <w:b/>
          <w:sz w:val="28"/>
          <w:szCs w:val="28"/>
        </w:rPr>
      </w:pPr>
      <w:r>
        <w:rPr>
          <w:rFonts w:hint="eastAsia" w:ascii="仿宋" w:hAnsi="仿宋" w:eastAsia="仿宋" w:cs="仿宋"/>
          <w:bCs/>
          <w:sz w:val="28"/>
          <w:szCs w:val="28"/>
        </w:rPr>
        <w:t>滴数传感器</w:t>
      </w:r>
      <w:r>
        <w:rPr>
          <w:rFonts w:hint="eastAsia" w:ascii="仿宋" w:hAnsi="仿宋" w:eastAsia="仿宋" w:cs="仿宋"/>
          <w:sz w:val="28"/>
          <w:szCs w:val="28"/>
        </w:rPr>
        <w:tab/>
      </w:r>
      <w:r>
        <w:rPr>
          <w:rFonts w:hint="eastAsia" w:ascii="仿宋" w:hAnsi="仿宋" w:eastAsia="仿宋" w:cs="仿宋"/>
          <w:bCs/>
          <w:sz w:val="28"/>
          <w:szCs w:val="28"/>
        </w:rPr>
        <w:t>1个</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商务需求：</w:t>
      </w:r>
    </w:p>
    <w:p>
      <w:pPr>
        <w:rPr>
          <w:rFonts w:hint="eastAsia" w:ascii="仿宋" w:hAnsi="仿宋" w:eastAsia="仿宋" w:cs="仿宋"/>
          <w:sz w:val="28"/>
          <w:szCs w:val="28"/>
        </w:rPr>
      </w:pPr>
      <w:r>
        <w:rPr>
          <w:rFonts w:hint="eastAsia" w:ascii="仿宋" w:hAnsi="仿宋" w:eastAsia="仿宋" w:cs="仿宋"/>
          <w:sz w:val="28"/>
          <w:szCs w:val="28"/>
        </w:rPr>
        <w:t>1、交货地点：采购人指定地点。</w:t>
      </w:r>
    </w:p>
    <w:p>
      <w:pPr>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xml:space="preserve">本项目为交钥匙工程，成交供应商必须在合同签订后 </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rPr>
          <w:rFonts w:hint="eastAsia" w:ascii="仿宋" w:hAnsi="仿宋" w:eastAsia="仿宋" w:cs="仿宋"/>
          <w:sz w:val="28"/>
          <w:szCs w:val="28"/>
        </w:rPr>
      </w:pPr>
      <w:r>
        <w:rPr>
          <w:rFonts w:hint="eastAsia" w:ascii="仿宋" w:hAnsi="仿宋" w:eastAsia="仿宋" w:cs="仿宋"/>
          <w:sz w:val="28"/>
          <w:szCs w:val="28"/>
        </w:rPr>
        <w:t>3、验收</w:t>
      </w:r>
    </w:p>
    <w:p>
      <w:pPr>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由采购人进行验收，设备完成安装调试达到可使用状态后试用无故障并收到成交供应商书面验收申请后按成交供应商响应文件逐条进行正式验收。如有必要，可请第三方验收。</w:t>
      </w:r>
    </w:p>
    <w:p>
      <w:pPr>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rPr>
      </w:pPr>
      <w:r>
        <w:rPr>
          <w:rFonts w:hint="eastAsia" w:ascii="仿宋" w:hAnsi="仿宋" w:eastAsia="仿宋" w:cs="仿宋"/>
          <w:sz w:val="28"/>
          <w:szCs w:val="28"/>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rPr>
      </w:pPr>
      <w:r>
        <w:rPr>
          <w:rFonts w:hint="eastAsia" w:ascii="仿宋" w:hAnsi="仿宋" w:eastAsia="仿宋" w:cs="仿宋"/>
          <w:sz w:val="28"/>
          <w:szCs w:val="28"/>
        </w:rPr>
        <w:t>4、售后服务</w:t>
      </w:r>
    </w:p>
    <w:p>
      <w:pPr>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rPr>
      </w:pPr>
      <w:r>
        <w:rPr>
          <w:rFonts w:hint="eastAsia" w:ascii="仿宋" w:hAnsi="仿宋" w:eastAsia="仿宋" w:cs="仿宋"/>
          <w:sz w:val="28"/>
          <w:szCs w:val="28"/>
        </w:rPr>
        <w:t>（5）质保期满后，成交供应商应提供终身维修，用户只付零配件的费用，能长期提供良好的技术支持及零部件的优惠供应。</w:t>
      </w:r>
    </w:p>
    <w:p>
      <w:pPr>
        <w:rPr>
          <w:rFonts w:hint="eastAsia" w:ascii="仿宋" w:hAnsi="仿宋" w:eastAsia="仿宋" w:cs="仿宋"/>
          <w:sz w:val="28"/>
          <w:szCs w:val="28"/>
        </w:rPr>
      </w:pPr>
      <w:r>
        <w:rPr>
          <w:rFonts w:hint="eastAsia" w:ascii="仿宋" w:hAnsi="仿宋" w:eastAsia="仿宋" w:cs="仿宋"/>
          <w:sz w:val="28"/>
          <w:szCs w:val="28"/>
        </w:rPr>
        <w:t>（6）免费与医院信息系统对接端口，其接入产生的费用由成交供应商承担（包含在报价中），由制造商或国内授权代理商出具售后服务承诺书。</w:t>
      </w:r>
    </w:p>
    <w:p>
      <w:pPr>
        <w:pStyle w:val="3"/>
        <w:rPr>
          <w:rFonts w:hint="default" w:eastAsia="仿宋"/>
          <w:b/>
          <w:bCs/>
          <w:lang w:val="en-US" w:eastAsia="zh-CN"/>
        </w:rPr>
      </w:pPr>
    </w:p>
    <w:p>
      <w:pPr>
        <w:pStyle w:val="3"/>
        <w:rPr>
          <w:rFonts w:hint="eastAsia"/>
        </w:rPr>
      </w:pPr>
    </w:p>
    <w:p>
      <w:pPr>
        <w:pStyle w:val="3"/>
        <w:rPr>
          <w:rFonts w:hint="default" w:ascii="仿宋" w:hAnsi="仿宋" w:eastAsia="仿宋" w:cs="仿宋"/>
          <w:color w:val="auto"/>
          <w:highlight w:val="none"/>
          <w:lang w:val="en-US" w:eastAsia="zh-CN"/>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3"/>
        <w:rPr>
          <w:rFonts w:hint="eastAsia" w:ascii="仿宋" w:hAnsi="仿宋" w:eastAsia="仿宋" w:cs="仿宋"/>
          <w:color w:val="auto"/>
          <w:highlight w:val="none"/>
        </w:rPr>
      </w:pPr>
    </w:p>
    <w:p>
      <w:pPr>
        <w:pStyle w:val="4"/>
        <w:jc w:val="both"/>
        <w:rPr>
          <w:rFonts w:hint="eastAsia" w:ascii="仿宋" w:hAnsi="仿宋" w:eastAsia="仿宋" w:cs="仿宋"/>
          <w:color w:val="auto"/>
          <w:highlight w:val="none"/>
        </w:rPr>
      </w:pPr>
    </w:p>
    <w:p>
      <w:pPr>
        <w:jc w:val="center"/>
        <w:rPr>
          <w:rFonts w:hint="eastAsia" w:ascii="仿宋" w:hAnsi="仿宋" w:eastAsia="仿宋" w:cs="仿宋"/>
          <w:color w:val="auto"/>
          <w:sz w:val="84"/>
          <w:szCs w:val="84"/>
          <w:highlight w:val="none"/>
          <w:lang w:eastAsia="zh-CN"/>
        </w:rPr>
      </w:pP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pStyle w:val="2"/>
        <w:rPr>
          <w:rFonts w:hint="eastAsia" w:ascii="仿宋" w:hAnsi="仿宋" w:eastAsia="仿宋" w:cs="仿宋"/>
          <w:color w:val="auto"/>
          <w:sz w:val="84"/>
          <w:szCs w:val="84"/>
          <w:highlight w:val="none"/>
          <w:lang w:eastAsia="zh-CN"/>
        </w:rPr>
      </w:pPr>
    </w:p>
    <w:p>
      <w:pPr>
        <w:pStyle w:val="3"/>
        <w:rPr>
          <w:rFonts w:hint="eastAsia"/>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1" w:name="_Toc5315"/>
      <w:bookmarkStart w:id="22" w:name="_Toc919"/>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22759"/>
      <w:bookmarkStart w:id="24" w:name="_Toc331493648"/>
      <w:bookmarkStart w:id="25" w:name="_Toc413396840"/>
      <w:bookmarkStart w:id="26" w:name="_Toc19814"/>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rPr>
      </w:pPr>
      <w:bookmarkStart w:id="27" w:name="_Toc485736232"/>
      <w:bookmarkStart w:id="28" w:name="_Toc480191543"/>
      <w:bookmarkStart w:id="29" w:name="_Toc413396845"/>
      <w:bookmarkStart w:id="30" w:name="_Toc1161"/>
      <w:bookmarkStart w:id="31" w:name="_Toc6176"/>
      <w:bookmarkStart w:id="32"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3" w:name="_Toc23201"/>
      <w:bookmarkStart w:id="34" w:name="_Toc413396854"/>
      <w:bookmarkStart w:id="35" w:name="_Toc7073"/>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469749011"/>
      <w:bookmarkStart w:id="38" w:name="_Toc423337568"/>
      <w:bookmarkStart w:id="39" w:name="_Toc3874"/>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23487"/>
      <w:bookmarkStart w:id="41" w:name="_Toc423337570"/>
      <w:bookmarkStart w:id="42" w:name="_Toc469749013"/>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17890583"/>
      <w:bookmarkStart w:id="44" w:name="_Toc423337571"/>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469749014"/>
      <w:bookmarkStart w:id="48" w:name="_Toc24750"/>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3387"/>
      <w:bookmarkStart w:id="54" w:name="_Toc26349"/>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4577"/>
      <w:bookmarkStart w:id="56"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7" w:name="_Toc423337575"/>
      <w:bookmarkStart w:id="58" w:name="_Toc469749018"/>
      <w:bookmarkStart w:id="59" w:name="_Toc11819"/>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F6AA51FA"/>
    <w:multiLevelType w:val="singleLevel"/>
    <w:tmpl w:val="F6AA51FA"/>
    <w:lvl w:ilvl="0" w:tentative="0">
      <w:start w:val="4"/>
      <w:numFmt w:val="chineseCounting"/>
      <w:suff w:val="nothing"/>
      <w:lvlText w:val="%1、"/>
      <w:lvlJc w:val="left"/>
      <w:rPr>
        <w:rFonts w:hint="eastAsia"/>
      </w:rPr>
    </w:lvl>
  </w:abstractNum>
  <w:abstractNum w:abstractNumId="2">
    <w:nsid w:val="4A724D24"/>
    <w:multiLevelType w:val="multilevel"/>
    <w:tmpl w:val="4A724D24"/>
    <w:lvl w:ilvl="0" w:tentative="0">
      <w:start w:val="1"/>
      <w:numFmt w:val="decimal"/>
      <w:lvlText w:val="%1."/>
      <w:lvlJc w:val="left"/>
      <w:pPr>
        <w:ind w:left="84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031106"/>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71954"/>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14B47"/>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9986</Words>
  <Characters>10450</Characters>
  <Lines>111</Lines>
  <Paragraphs>31</Paragraphs>
  <TotalTime>1</TotalTime>
  <ScaleCrop>false</ScaleCrop>
  <LinksUpToDate>false</LinksUpToDate>
  <CharactersWithSpaces>11325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2023-05-26T08:55:46Z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9757BC6343A446379646FE5D8119DCC1</vt:lpwstr>
  </property>
</Properties>
</file>