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气压治疗仪、</w:t>
      </w:r>
      <w:r>
        <w:rPr>
          <w:rFonts w:hint="eastAsia" w:ascii="仿宋" w:hAnsi="仿宋" w:eastAsia="仿宋" w:cs="仿宋"/>
          <w:bCs/>
          <w:color w:val="auto"/>
          <w:sz w:val="48"/>
          <w:szCs w:val="48"/>
        </w:rPr>
        <w:t>体外振动排痰仪</w:t>
      </w:r>
      <w:r>
        <w:rPr>
          <w:rFonts w:hint="eastAsia" w:ascii="仿宋" w:hAnsi="仿宋" w:eastAsia="仿宋" w:cs="仿宋"/>
          <w:b/>
          <w:bCs/>
          <w:color w:val="auto"/>
          <w:sz w:val="48"/>
          <w:szCs w:val="48"/>
          <w:highlight w:val="none"/>
          <w:lang w:val="en-US" w:eastAsia="zh-CN"/>
        </w:rPr>
        <w:t>项目</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bookmarkStart w:id="63" w:name="_GoBack"/>
      <w:bookmarkEnd w:id="63"/>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三</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4"/>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5"/>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ind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赣州市肿瘤医院就气压治疗仪、</w:t>
      </w:r>
      <w:r>
        <w:rPr>
          <w:rFonts w:hint="eastAsia" w:ascii="仿宋" w:hAnsi="仿宋" w:eastAsia="仿宋" w:cs="仿宋"/>
          <w:bCs/>
          <w:sz w:val="28"/>
          <w:szCs w:val="28"/>
        </w:rPr>
        <w:t>体外振动排痰仪</w:t>
      </w:r>
      <w:r>
        <w:rPr>
          <w:rFonts w:hint="eastAsia" w:ascii="仿宋" w:hAnsi="仿宋" w:eastAsia="仿宋" w:cs="仿宋"/>
          <w:i w:val="0"/>
          <w:iCs w:val="0"/>
          <w:caps w:val="0"/>
          <w:color w:val="auto"/>
          <w:spacing w:val="0"/>
          <w:kern w:val="0"/>
          <w:sz w:val="28"/>
          <w:szCs w:val="28"/>
          <w:lang w:val="en-US" w:eastAsia="zh-CN" w:bidi="ar"/>
        </w:rPr>
        <w:t>项目进行竞争性谈判，现欢迎符合资格条件的供应商前来参加。</w:t>
      </w:r>
    </w:p>
    <w:p>
      <w:pPr>
        <w:keepNext w:val="0"/>
        <w:keepLines w:val="0"/>
        <w:widowControl/>
        <w:suppressLineNumbers w:val="0"/>
        <w:jc w:val="left"/>
        <w:rPr>
          <w:rFonts w:hint="default" w:ascii="仿宋" w:hAnsi="仿宋" w:eastAsia="仿宋" w:cs="仿宋"/>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一、项目编号：</w:t>
      </w:r>
      <w:r>
        <w:rPr>
          <w:rFonts w:hint="eastAsia" w:ascii="仿宋" w:hAnsi="仿宋" w:eastAsia="仿宋" w:cs="仿宋"/>
          <w:i w:val="0"/>
          <w:iCs w:val="0"/>
          <w:caps w:val="0"/>
          <w:color w:val="auto"/>
          <w:spacing w:val="0"/>
          <w:kern w:val="0"/>
          <w:sz w:val="28"/>
          <w:szCs w:val="28"/>
          <w:lang w:val="en-US" w:eastAsia="zh-CN" w:bidi="ar"/>
        </w:rPr>
        <w:t>SB2023-0504</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二、</w:t>
      </w:r>
      <w:r>
        <w:rPr>
          <w:rStyle w:val="20"/>
          <w:rFonts w:hint="eastAsia" w:ascii="仿宋" w:hAnsi="仿宋" w:eastAsia="仿宋" w:cs="仿宋"/>
          <w:b/>
          <w:bCs/>
          <w:i w:val="0"/>
          <w:iCs w:val="0"/>
          <w:caps w:val="0"/>
          <w:color w:val="auto"/>
          <w:spacing w:val="0"/>
          <w:kern w:val="0"/>
          <w:sz w:val="28"/>
          <w:szCs w:val="28"/>
          <w:lang w:val="en-US" w:eastAsia="zh-CN" w:bidi="ar"/>
        </w:rPr>
        <w:t>采购方式：</w:t>
      </w:r>
      <w:r>
        <w:rPr>
          <w:rFonts w:hint="eastAsia" w:ascii="仿宋" w:hAnsi="仿宋" w:eastAsia="仿宋" w:cs="仿宋"/>
          <w:i w:val="0"/>
          <w:iCs w:val="0"/>
          <w:caps w:val="0"/>
          <w:color w:val="auto"/>
          <w:spacing w:val="0"/>
          <w:kern w:val="0"/>
          <w:sz w:val="28"/>
          <w:szCs w:val="28"/>
          <w:lang w:val="en-US" w:eastAsia="zh-CN" w:bidi="ar"/>
        </w:rPr>
        <w:t>竞争性谈判</w:t>
      </w:r>
    </w:p>
    <w:p>
      <w:pPr>
        <w:keepNext w:val="0"/>
        <w:keepLines w:val="0"/>
        <w:widowControl/>
        <w:suppressLineNumbers w:val="0"/>
        <w:jc w:val="left"/>
        <w:rPr>
          <w:rFonts w:hint="eastAsia" w:ascii="仿宋" w:hAnsi="仿宋" w:eastAsia="仿宋" w:cs="仿宋"/>
          <w:color w:val="auto"/>
          <w:sz w:val="28"/>
          <w:szCs w:val="28"/>
        </w:rPr>
      </w:pPr>
      <w:r>
        <w:rPr>
          <w:rStyle w:val="20"/>
          <w:rFonts w:hint="eastAsia" w:ascii="仿宋" w:hAnsi="仿宋" w:eastAsia="仿宋" w:cs="仿宋"/>
          <w:b/>
          <w:bCs/>
          <w:i w:val="0"/>
          <w:iCs w:val="0"/>
          <w:caps w:val="0"/>
          <w:color w:val="auto"/>
          <w:spacing w:val="0"/>
          <w:kern w:val="0"/>
          <w:sz w:val="28"/>
          <w:szCs w:val="28"/>
          <w:lang w:val="en-US" w:eastAsia="zh-CN" w:bidi="ar"/>
        </w:rPr>
        <w:t>三、采购内容：</w:t>
      </w:r>
    </w:p>
    <w:tbl>
      <w:tblPr>
        <w:tblStyle w:val="17"/>
        <w:tblW w:w="8302"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863"/>
        <w:gridCol w:w="2079"/>
        <w:gridCol w:w="1340"/>
        <w:gridCol w:w="1340"/>
        <w:gridCol w:w="1340"/>
        <w:gridCol w:w="1340"/>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序号</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货物名称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数量</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单位</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预算（元）</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品目一</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rPr>
            </w:pPr>
            <w:r>
              <w:rPr>
                <w:rFonts w:hint="eastAsia" w:ascii="仿宋" w:hAnsi="仿宋" w:eastAsia="仿宋" w:cs="仿宋"/>
                <w:i w:val="0"/>
                <w:iCs w:val="0"/>
                <w:caps w:val="0"/>
                <w:color w:val="auto"/>
                <w:spacing w:val="0"/>
                <w:kern w:val="0"/>
                <w:sz w:val="28"/>
                <w:szCs w:val="28"/>
                <w:lang w:val="en-US" w:eastAsia="zh-CN" w:bidi="ar"/>
              </w:rPr>
              <w:t>气压治疗仪</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4</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56000</w:t>
            </w:r>
          </w:p>
        </w:tc>
        <w:tc>
          <w:tcPr>
            <w:tcW w:w="1340" w:type="dxa"/>
            <w:vMerge w:val="restart"/>
            <w:tcBorders>
              <w:top w:val="outset" w:color="auto" w:sz="6" w:space="0"/>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详见竞争性谈判文件</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rPr>
            </w:pPr>
            <w:r>
              <w:rPr>
                <w:rFonts w:hint="eastAsia" w:ascii="仿宋" w:hAnsi="仿宋" w:eastAsia="仿宋" w:cs="仿宋"/>
                <w:i w:val="0"/>
                <w:iCs w:val="0"/>
                <w:caps w:val="0"/>
                <w:color w:val="auto"/>
                <w:spacing w:val="0"/>
                <w:sz w:val="28"/>
                <w:szCs w:val="28"/>
                <w:lang w:val="en-US" w:eastAsia="zh-CN"/>
              </w:rPr>
              <w:t>品目二</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bCs/>
                <w:sz w:val="28"/>
                <w:szCs w:val="28"/>
              </w:rPr>
              <w:t>体外振动排痰仪</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12000</w:t>
            </w:r>
          </w:p>
        </w:tc>
        <w:tc>
          <w:tcPr>
            <w:tcW w:w="1340" w:type="dxa"/>
            <w:vMerge w:val="continue"/>
            <w:tcBorders>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p>
        </w:tc>
      </w:tr>
    </w:tbl>
    <w:p>
      <w:pPr>
        <w:keepNext w:val="0"/>
        <w:keepLines w:val="0"/>
        <w:widowControl/>
        <w:numPr>
          <w:ilvl w:val="0"/>
          <w:numId w:val="2"/>
        </w:numPr>
        <w:suppressLineNumbers w:val="0"/>
        <w:ind w:left="240" w:hanging="281" w:hangingChars="10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谈判方式：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项目为整体打包，不接受单一或部分品目报价。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keepNext w:val="0"/>
        <w:keepLines w:val="0"/>
        <w:widowControl/>
        <w:numPr>
          <w:ilvl w:val="0"/>
          <w:numId w:val="0"/>
        </w:numPr>
        <w:suppressLineNumbers w:val="0"/>
        <w:ind w:leftChars="-100" w:firstLine="562" w:firstLineChars="20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五、响应供应商的资格要求：</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1、具有独立承担民事责任的能力；</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2、具有履行合同所必需的设备和专业技术能力；</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3、有依法缴纳税收和社会保障资金的良好记录；</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4、参加采购活动前三年内，在经营活动中没有重大违法记录。</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5、其他资格条件：</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5.1所投一、二、三类医疗器械产品用于临床的：二、三类医疗器械产品的须具有医疗器械注册证及登记表（新证不需登记表），一类医疗器械产品的须具有产品备案登记凭证；</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5.2所投在中华人民共和国境内生产的一、二、三类医疗器械产品用于临床的：二、三类医疗器械产品须具有医疗器械生产许可证,一类医疗器械产品的须具有医疗器械生产备案凭证；</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widowControl/>
        <w:numPr>
          <w:ilvl w:val="0"/>
          <w:numId w:val="0"/>
        </w:numPr>
        <w:suppressLineNumbers w:val="0"/>
        <w:ind w:leftChars="-100" w:firstLine="560" w:firstLineChars="200"/>
        <w:jc w:val="left"/>
        <w:rPr>
          <w:rStyle w:val="20"/>
          <w:rFonts w:hint="eastAsia" w:ascii="仿宋" w:hAnsi="仿宋" w:eastAsia="仿宋" w:cs="仿宋"/>
          <w:b/>
          <w:bCs/>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六、</w:t>
      </w:r>
      <w:r>
        <w:rPr>
          <w:rStyle w:val="20"/>
          <w:rFonts w:hint="eastAsia" w:ascii="仿宋" w:hAnsi="仿宋" w:eastAsia="仿宋" w:cs="仿宋"/>
          <w:b/>
          <w:bCs/>
          <w:i w:val="0"/>
          <w:iCs w:val="0"/>
          <w:caps w:val="0"/>
          <w:color w:val="auto"/>
          <w:spacing w:val="0"/>
          <w:kern w:val="0"/>
          <w:sz w:val="28"/>
          <w:szCs w:val="28"/>
          <w:lang w:val="en-US" w:eastAsia="zh-CN" w:bidi="ar"/>
        </w:rPr>
        <w:t>报名时间、报名方式：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本次竞争性谈判活动采用邮箱报名，不需要到现场报名，供应商须将报名表、营业执照扫描件于2023年5月30日下午17:00之前发送到到电子邮箱gzszlyycgb@126.com。如有疑问，请拨打电话0797-8105097 晏女士，0797-8287110 曾先生。</w:t>
      </w:r>
    </w:p>
    <w:p>
      <w:pPr>
        <w:keepNext w:val="0"/>
        <w:keepLines w:val="0"/>
        <w:widowControl/>
        <w:numPr>
          <w:ilvl w:val="0"/>
          <w:numId w:val="0"/>
        </w:numPr>
        <w:suppressLineNumbers w:val="0"/>
        <w:ind w:leftChars="-100" w:firstLine="562" w:firstLineChars="20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七、响应截止时间和谈判时间：</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现场响应截止时间：2023年5月31日（星期三）上午9：00。</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现场谈判地点：老门诊楼四楼402会议室。</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谈判文件一式三份（一正两副），资料按要求胶装成册。逾期或不符合规定的竞谈响应文件恕不接受。签到时应主动出示身份证明原件。</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八、履约保证金及退回方式：</w:t>
      </w:r>
    </w:p>
    <w:p>
      <w:pPr>
        <w:keepNext w:val="0"/>
        <w:keepLines w:val="0"/>
        <w:widowControl/>
        <w:suppressLineNumbers w:val="0"/>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履约保证金及退回方式：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九、付款方式：</w:t>
      </w:r>
    </w:p>
    <w:p>
      <w:pPr>
        <w:keepNext w:val="0"/>
        <w:keepLines w:val="0"/>
        <w:widowControl/>
        <w:suppressLineNumbers w:val="0"/>
        <w:ind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合同签订、货物送达、安装调试、培训完成且验收合格,收到符合国家法律规定的税票后30天内支付合同总额的100%。</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十、联系方式：</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采购人：赣州市肿瘤医院</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地址：赣州市水东镇花园前19号</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电话：0797-8105097</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联系人：游龙跃</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u w:val="none"/>
          <w:lang w:val="en-US" w:eastAsia="zh-CN" w:bidi="ar"/>
        </w:rPr>
      </w:pPr>
      <w:r>
        <w:rPr>
          <w:rFonts w:hint="eastAsia" w:ascii="仿宋" w:hAnsi="仿宋" w:eastAsia="仿宋" w:cs="仿宋"/>
          <w:i w:val="0"/>
          <w:iCs w:val="0"/>
          <w:caps w:val="0"/>
          <w:color w:val="auto"/>
          <w:spacing w:val="0"/>
          <w:kern w:val="0"/>
          <w:sz w:val="28"/>
          <w:szCs w:val="28"/>
          <w:lang w:val="en-US" w:eastAsia="zh-CN" w:bidi="ar"/>
        </w:rPr>
        <w:t>网址：</w:t>
      </w:r>
      <w:r>
        <w:rPr>
          <w:rFonts w:hint="eastAsia" w:ascii="仿宋" w:hAnsi="仿宋" w:eastAsia="仿宋" w:cs="仿宋"/>
          <w:i w:val="0"/>
          <w:iCs w:val="0"/>
          <w:caps w:val="0"/>
          <w:color w:val="auto"/>
          <w:spacing w:val="0"/>
          <w:kern w:val="0"/>
          <w:sz w:val="28"/>
          <w:szCs w:val="28"/>
          <w:u w:val="none"/>
          <w:lang w:val="en-US" w:eastAsia="zh-CN" w:bidi="ar"/>
        </w:rPr>
        <w:fldChar w:fldCharType="begin"/>
      </w:r>
      <w:r>
        <w:rPr>
          <w:rFonts w:hint="eastAsia" w:ascii="仿宋" w:hAnsi="仿宋" w:eastAsia="仿宋" w:cs="仿宋"/>
          <w:i w:val="0"/>
          <w:iCs w:val="0"/>
          <w:caps w:val="0"/>
          <w:color w:val="auto"/>
          <w:spacing w:val="0"/>
          <w:kern w:val="0"/>
          <w:sz w:val="28"/>
          <w:szCs w:val="28"/>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8"/>
          <w:szCs w:val="28"/>
          <w:u w:val="none"/>
          <w:lang w:val="en-US" w:eastAsia="zh-CN" w:bidi="ar"/>
        </w:rPr>
        <w:fldChar w:fldCharType="separate"/>
      </w:r>
      <w:r>
        <w:rPr>
          <w:rStyle w:val="28"/>
          <w:rFonts w:hint="eastAsia" w:ascii="仿宋" w:hAnsi="仿宋" w:eastAsia="仿宋" w:cs="仿宋"/>
          <w:i w:val="0"/>
          <w:iCs w:val="0"/>
          <w:caps w:val="0"/>
          <w:color w:val="auto"/>
          <w:spacing w:val="0"/>
          <w:sz w:val="28"/>
          <w:szCs w:val="28"/>
          <w:u w:val="single"/>
        </w:rPr>
        <w:t>http://www.gzzlyy.com/</w:t>
      </w:r>
      <w:r>
        <w:rPr>
          <w:rFonts w:hint="eastAsia" w:ascii="仿宋" w:hAnsi="仿宋" w:eastAsia="仿宋" w:cs="仿宋"/>
          <w:i w:val="0"/>
          <w:iCs w:val="0"/>
          <w:caps w:val="0"/>
          <w:color w:val="auto"/>
          <w:spacing w:val="0"/>
          <w:kern w:val="0"/>
          <w:sz w:val="28"/>
          <w:szCs w:val="28"/>
          <w:u w:val="none"/>
          <w:lang w:val="en-US" w:eastAsia="zh-CN" w:bidi="ar"/>
        </w:rPr>
        <w:fldChar w:fldCharType="end"/>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附件1：赣州市肿瘤医院采购会报名表</w:t>
      </w:r>
    </w:p>
    <w:p>
      <w:pPr>
        <w:keepNext w:val="0"/>
        <w:keepLines w:val="0"/>
        <w:widowControl/>
        <w:suppressLineNumbers w:val="0"/>
        <w:jc w:val="left"/>
        <w:rPr>
          <w:rFonts w:hint="eastAsia" w:ascii="仿宋" w:hAnsi="仿宋" w:eastAsia="仿宋" w:cs="仿宋"/>
          <w:color w:val="auto"/>
          <w:sz w:val="28"/>
          <w:szCs w:val="28"/>
          <w:lang w:val="en-US"/>
        </w:rPr>
      </w:pPr>
      <w:r>
        <w:rPr>
          <w:rFonts w:hint="eastAsia" w:ascii="仿宋" w:hAnsi="仿宋" w:eastAsia="仿宋" w:cs="仿宋"/>
          <w:i w:val="0"/>
          <w:iCs w:val="0"/>
          <w:caps w:val="0"/>
          <w:color w:val="auto"/>
          <w:spacing w:val="0"/>
          <w:kern w:val="0"/>
          <w:sz w:val="28"/>
          <w:szCs w:val="28"/>
          <w:lang w:val="en-US" w:eastAsia="zh-CN" w:bidi="ar"/>
        </w:rPr>
        <w:t>附件2：竞争性谈判文件</w:t>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2023年5月26日</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color w:val="auto"/>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361733089"/>
      <w:bookmarkStart w:id="6" w:name="_Toc29044"/>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5"/>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361733090"/>
      <w:bookmarkStart w:id="9" w:name="_Toc16582"/>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361733091"/>
      <w:bookmarkStart w:id="11" w:name="_Toc20158"/>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4"/>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numPr>
          <w:ilvl w:val="0"/>
          <w:numId w:val="0"/>
        </w:numPr>
        <w:ind w:leftChars="0"/>
        <w:rPr>
          <w:rFonts w:hint="eastAsia" w:ascii="仿宋" w:hAnsi="仿宋" w:eastAsia="仿宋" w:cs="仿宋"/>
          <w:color w:val="auto"/>
          <w:kern w:val="0"/>
          <w:sz w:val="32"/>
          <w:szCs w:val="32"/>
          <w:highlight w:val="none"/>
          <w:lang w:val="en-US" w:eastAsia="zh-CN"/>
        </w:rPr>
      </w:pPr>
    </w:p>
    <w:p>
      <w:pPr>
        <w:pStyle w:val="4"/>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三、项目概况及采购需求</w:t>
      </w:r>
    </w:p>
    <w:p>
      <w:pPr>
        <w:spacing w:line="276" w:lineRule="auto"/>
        <w:rPr>
          <w:rFonts w:hint="default" w:ascii="仿宋" w:hAnsi="仿宋" w:eastAsia="仿宋" w:cs="仿宋"/>
          <w:b/>
          <w:bCs/>
          <w:color w:val="000000"/>
          <w:kern w:val="0"/>
          <w:sz w:val="28"/>
          <w:szCs w:val="28"/>
          <w:highlight w:val="none"/>
          <w:lang w:val="en-US" w:eastAsia="zh-CN"/>
        </w:rPr>
      </w:pPr>
      <w:r>
        <w:rPr>
          <w:rFonts w:hint="eastAsia" w:ascii="仿宋" w:hAnsi="仿宋" w:eastAsia="仿宋" w:cs="仿宋"/>
          <w:b/>
          <w:bCs/>
          <w:color w:val="000000"/>
          <w:kern w:val="0"/>
          <w:sz w:val="28"/>
          <w:szCs w:val="28"/>
          <w:highlight w:val="none"/>
          <w:lang w:val="en-US" w:eastAsia="zh-CN"/>
        </w:rPr>
        <w:t>品目一：气压治疗仪采购需求</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1、适用范围：通过对肢体施加周期性的空气压力，促进血液和组织液循环，缓解由肢体静脉水肿和下肢动脉缺血引起的水肿、疼痛、酸胀、肢体沉重感、间歇性跛行等临床症状。</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2、主要构成：由主机、手控器、空气压力循环输出单元（连接气管、套筒）组成。</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3、结构形式：挂壁、手提、台式三合一结构。</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4、显示方式：真彩液晶界面显示方式。</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5、按键方式：所有功能的调节仅需通过对一个键施以旋转及按压动作即可全部完成</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6、工作腔数：4腔，主机可同时支持2个足底套筒和2个小腿套筒或2个手掌套筒工作。</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7、工作压力：0～200mmHg分41档，歩距增量1（5mmHg）,各腔室压力分别独立可调。</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8、保压时间：0～15s可调，歩距增量1s。</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9、间停时间：0～99s可调,歩距增量1s。</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10、工作模式：≥6种预先设定的工作模式。</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11、治疗方案：≥6种内置组合治疗方案(包括预防DVT专用方案)，供不同病症选择，也可以根据病况自定义治疗方案。</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安全保护：具有断电保护功能，运行中断电套筒可自动排气减压。</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套筒可承受压力：300mmHg,且承受时间不少于1分钟。</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设备标配手控触发器，治疗过程中，按下手控器按钮进入暂停状态，暂停时按下手控器按钮，可继续治疗。</w:t>
      </w:r>
    </w:p>
    <w:p>
      <w:pPr>
        <w:pStyle w:val="2"/>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lang w:val="en-US" w:eastAsia="zh-CN"/>
        </w:rPr>
        <w:t>品目二：</w:t>
      </w:r>
      <w:r>
        <w:rPr>
          <w:rFonts w:hint="eastAsia" w:ascii="仿宋" w:hAnsi="仿宋" w:eastAsia="仿宋" w:cs="仿宋"/>
          <w:bCs/>
          <w:sz w:val="28"/>
          <w:szCs w:val="28"/>
          <w:highlight w:val="none"/>
        </w:rPr>
        <w:t>体外振动排痰仪</w:t>
      </w:r>
      <w:r>
        <w:rPr>
          <w:rFonts w:hint="eastAsia" w:ascii="仿宋" w:hAnsi="仿宋" w:eastAsia="仿宋" w:cs="仿宋"/>
          <w:bCs/>
          <w:sz w:val="28"/>
          <w:szCs w:val="28"/>
          <w:highlight w:val="none"/>
          <w:lang w:val="en-US" w:eastAsia="zh-CN"/>
        </w:rPr>
        <w:t>采购需求</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1、主机和推车可分离，方便单独使用或携带，设备整体ABS模具成型；</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color w:val="000000"/>
          <w:sz w:val="28"/>
          <w:szCs w:val="28"/>
        </w:rPr>
        <w:t>2、电机：</w:t>
      </w:r>
      <w:r>
        <w:rPr>
          <w:rFonts w:hint="eastAsia" w:ascii="仿宋" w:hAnsi="仿宋" w:eastAsia="仿宋" w:cs="仿宋"/>
          <w:bCs/>
          <w:sz w:val="28"/>
          <w:szCs w:val="28"/>
        </w:rPr>
        <w:t>稀土永磁低压直流电机，动力强劲，治疗过程中动力无衰减、无卡滞；</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sz w:val="28"/>
          <w:szCs w:val="28"/>
        </w:rPr>
        <w:t>3、安全电压：24V安全电压,产品使用更安全；</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4、叩击输出：双路输出,穿透力不同，可同时治疗两位成年型患者；</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color w:val="000000"/>
          <w:sz w:val="28"/>
          <w:szCs w:val="28"/>
        </w:rPr>
        <w:t>5、治疗头：</w:t>
      </w:r>
      <w:r>
        <w:rPr>
          <w:rFonts w:hint="eastAsia" w:ascii="仿宋" w:hAnsi="仿宋" w:eastAsia="仿宋" w:cs="仿宋"/>
          <w:bCs/>
          <w:sz w:val="28"/>
          <w:szCs w:val="28"/>
        </w:rPr>
        <w:t>特定方向周期变化的治疗力,能在垂直方向分力产生叩击、震颤力，在水平方向分力产生定向挤推、震颤力，使患者舒适感增强，对深度的痰液排出效果明显；</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6、扣击头：海绵治疗头，软硬、密度在10-60Hz频率下有效地发挥效能，每路输出各有≥5种不同规格的治疗头，可满足不同患者多种体外引流要求；</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7、频率控制：10～60Hz，连续可调，电子数码管显示，微电脑控制； </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8、时间控制：</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手动模式：1～60min,连续可调,电子数码管显示,微电脑控制,可自动停机； </w:t>
      </w:r>
    </w:p>
    <w:p>
      <w:pPr>
        <w:spacing w:line="450" w:lineRule="atLeast"/>
        <w:ind w:firstLine="0" w:firstLineChars="0"/>
        <w:rPr>
          <w:rFonts w:hint="eastAsia" w:ascii="仿宋" w:hAnsi="仿宋" w:eastAsia="仿宋" w:cs="仿宋"/>
          <w:bCs/>
          <w:sz w:val="28"/>
          <w:szCs w:val="28"/>
        </w:rPr>
      </w:pPr>
      <w:r>
        <w:rPr>
          <w:rFonts w:hint="eastAsia" w:ascii="仿宋" w:hAnsi="仿宋" w:eastAsia="仿宋" w:cs="仿宋"/>
          <w:bCs/>
          <w:sz w:val="28"/>
          <w:szCs w:val="28"/>
        </w:rPr>
        <w:t>自动模式：≥4档可调节，含5min、10min、15min、20min，误差为±10%；</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sz w:val="28"/>
          <w:szCs w:val="28"/>
        </w:rPr>
        <w:t>自动模式工作程序：轻柔、标准、加强、超强；</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9、输出速度：600转/分～3600转/分； </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10、振动幅度：成人≤6mm； </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11、四种以上自动叩击模式： </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自动叩击模式一：变频范围10～20Hz；适合手术后病人或敏感性病人； </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自动叩击模式二：变频范围15～25Hz；适合体质较弱，或瘦小病人； </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自动叩击模式三：变频范围20～25Hz；适合体质较好或需要治疗的病人； </w:t>
      </w:r>
    </w:p>
    <w:p>
      <w:pPr>
        <w:spacing w:line="450" w:lineRule="atLeast"/>
        <w:ind w:firstLine="0" w:firstLineChars="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自动叩击模式四：变频范围20～30Hz；适合体质强壮或肥胖病人。 </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二 配置清单</w:t>
      </w:r>
    </w:p>
    <w:p>
      <w:pPr>
        <w:pStyle w:val="3"/>
        <w:rPr>
          <w:rFonts w:hint="eastAsia" w:ascii="仿宋" w:hAnsi="仿宋" w:eastAsia="仿宋" w:cs="仿宋"/>
          <w:bCs/>
          <w:kern w:val="2"/>
          <w:sz w:val="28"/>
          <w:szCs w:val="28"/>
        </w:rPr>
      </w:pPr>
      <w:r>
        <w:rPr>
          <w:rFonts w:hint="eastAsia" w:ascii="仿宋" w:hAnsi="仿宋" w:eastAsia="仿宋" w:cs="仿宋"/>
          <w:bCs/>
          <w:kern w:val="2"/>
          <w:sz w:val="28"/>
          <w:szCs w:val="28"/>
        </w:rPr>
        <w:t>1、主机</w:t>
      </w:r>
      <w:r>
        <w:rPr>
          <w:rFonts w:hint="eastAsia" w:ascii="仿宋" w:hAnsi="仿宋" w:eastAsia="仿宋" w:cs="仿宋"/>
          <w:bCs/>
          <w:kern w:val="2"/>
          <w:sz w:val="28"/>
          <w:szCs w:val="28"/>
        </w:rPr>
        <w:tab/>
      </w:r>
      <w:r>
        <w:rPr>
          <w:rFonts w:hint="eastAsia" w:ascii="仿宋" w:hAnsi="仿宋" w:eastAsia="仿宋" w:cs="仿宋"/>
          <w:bCs/>
          <w:kern w:val="2"/>
          <w:sz w:val="28"/>
          <w:szCs w:val="28"/>
        </w:rPr>
        <w:t>1台</w:t>
      </w:r>
    </w:p>
    <w:p>
      <w:pPr>
        <w:pStyle w:val="3"/>
        <w:rPr>
          <w:rFonts w:hint="eastAsia" w:ascii="仿宋" w:hAnsi="仿宋" w:eastAsia="仿宋" w:cs="仿宋"/>
          <w:bCs/>
          <w:kern w:val="2"/>
          <w:sz w:val="28"/>
          <w:szCs w:val="28"/>
        </w:rPr>
      </w:pPr>
      <w:r>
        <w:rPr>
          <w:rFonts w:hint="eastAsia" w:ascii="仿宋" w:hAnsi="仿宋" w:eastAsia="仿宋" w:cs="仿宋"/>
          <w:bCs/>
          <w:kern w:val="2"/>
          <w:sz w:val="28"/>
          <w:szCs w:val="28"/>
        </w:rPr>
        <w:t>2、台车</w:t>
      </w:r>
      <w:r>
        <w:rPr>
          <w:rFonts w:hint="eastAsia" w:ascii="仿宋" w:hAnsi="仿宋" w:eastAsia="仿宋" w:cs="仿宋"/>
          <w:bCs/>
          <w:kern w:val="2"/>
          <w:sz w:val="28"/>
          <w:szCs w:val="28"/>
        </w:rPr>
        <w:tab/>
      </w:r>
      <w:r>
        <w:rPr>
          <w:rFonts w:hint="eastAsia" w:ascii="仿宋" w:hAnsi="仿宋" w:eastAsia="仿宋" w:cs="仿宋"/>
          <w:bCs/>
          <w:kern w:val="2"/>
          <w:sz w:val="28"/>
          <w:szCs w:val="28"/>
        </w:rPr>
        <w:t>1台</w:t>
      </w:r>
    </w:p>
    <w:p>
      <w:pPr>
        <w:pStyle w:val="3"/>
        <w:rPr>
          <w:rFonts w:hint="eastAsia" w:ascii="仿宋" w:hAnsi="仿宋" w:eastAsia="仿宋" w:cs="仿宋"/>
          <w:bCs/>
          <w:kern w:val="2"/>
          <w:sz w:val="28"/>
          <w:szCs w:val="28"/>
        </w:rPr>
      </w:pPr>
      <w:r>
        <w:rPr>
          <w:rFonts w:hint="eastAsia" w:ascii="仿宋" w:hAnsi="仿宋" w:eastAsia="仿宋" w:cs="仿宋"/>
          <w:bCs/>
          <w:kern w:val="2"/>
          <w:sz w:val="28"/>
          <w:szCs w:val="28"/>
        </w:rPr>
        <w:t>3、成人型马鞍形海绵治疗头</w:t>
      </w:r>
      <w:r>
        <w:rPr>
          <w:rFonts w:hint="eastAsia" w:ascii="仿宋" w:hAnsi="仿宋" w:eastAsia="仿宋" w:cs="仿宋"/>
          <w:bCs/>
          <w:kern w:val="2"/>
          <w:sz w:val="28"/>
          <w:szCs w:val="28"/>
        </w:rPr>
        <w:tab/>
      </w:r>
      <w:r>
        <w:rPr>
          <w:rFonts w:hint="eastAsia" w:ascii="仿宋" w:hAnsi="仿宋" w:eastAsia="仿宋" w:cs="仿宋"/>
          <w:bCs/>
          <w:kern w:val="2"/>
          <w:sz w:val="28"/>
          <w:szCs w:val="28"/>
        </w:rPr>
        <w:t>2个</w:t>
      </w:r>
    </w:p>
    <w:p>
      <w:pPr>
        <w:pStyle w:val="3"/>
        <w:rPr>
          <w:rFonts w:hint="eastAsia" w:ascii="仿宋" w:hAnsi="仿宋" w:eastAsia="仿宋" w:cs="仿宋"/>
          <w:bCs/>
          <w:kern w:val="2"/>
          <w:sz w:val="28"/>
          <w:szCs w:val="28"/>
        </w:rPr>
      </w:pPr>
      <w:r>
        <w:rPr>
          <w:rFonts w:hint="eastAsia" w:ascii="仿宋" w:hAnsi="仿宋" w:eastAsia="仿宋" w:cs="仿宋"/>
          <w:bCs/>
          <w:kern w:val="2"/>
          <w:sz w:val="28"/>
          <w:szCs w:val="28"/>
        </w:rPr>
        <w:t>4、成人型圆形平面橡胶治疗头</w:t>
      </w:r>
      <w:r>
        <w:rPr>
          <w:rFonts w:hint="eastAsia" w:ascii="仿宋" w:hAnsi="仿宋" w:eastAsia="仿宋" w:cs="仿宋"/>
          <w:bCs/>
          <w:kern w:val="2"/>
          <w:sz w:val="28"/>
          <w:szCs w:val="28"/>
        </w:rPr>
        <w:tab/>
      </w:r>
      <w:r>
        <w:rPr>
          <w:rFonts w:hint="eastAsia" w:ascii="仿宋" w:hAnsi="仿宋" w:eastAsia="仿宋" w:cs="仿宋"/>
          <w:bCs/>
          <w:kern w:val="2"/>
          <w:sz w:val="28"/>
          <w:szCs w:val="28"/>
        </w:rPr>
        <w:t>2个</w:t>
      </w:r>
    </w:p>
    <w:p>
      <w:pPr>
        <w:pStyle w:val="3"/>
        <w:rPr>
          <w:rFonts w:hint="eastAsia" w:ascii="仿宋" w:hAnsi="仿宋" w:eastAsia="仿宋" w:cs="仿宋"/>
          <w:bCs/>
          <w:kern w:val="2"/>
          <w:sz w:val="28"/>
          <w:szCs w:val="28"/>
        </w:rPr>
      </w:pPr>
      <w:r>
        <w:rPr>
          <w:rFonts w:hint="eastAsia" w:ascii="仿宋" w:hAnsi="仿宋" w:eastAsia="仿宋" w:cs="仿宋"/>
          <w:bCs/>
          <w:kern w:val="2"/>
          <w:sz w:val="28"/>
          <w:szCs w:val="28"/>
        </w:rPr>
        <w:t>5、成人型圆圆形海绵治疗头</w:t>
      </w:r>
      <w:r>
        <w:rPr>
          <w:rFonts w:hint="eastAsia" w:ascii="仿宋" w:hAnsi="仿宋" w:eastAsia="仿宋" w:cs="仿宋"/>
          <w:bCs/>
          <w:kern w:val="2"/>
          <w:sz w:val="28"/>
          <w:szCs w:val="28"/>
        </w:rPr>
        <w:tab/>
      </w:r>
      <w:r>
        <w:rPr>
          <w:rFonts w:hint="eastAsia" w:ascii="仿宋" w:hAnsi="仿宋" w:eastAsia="仿宋" w:cs="仿宋"/>
          <w:bCs/>
          <w:kern w:val="2"/>
          <w:sz w:val="28"/>
          <w:szCs w:val="28"/>
        </w:rPr>
        <w:t>2个</w:t>
      </w:r>
    </w:p>
    <w:p>
      <w:pPr>
        <w:pStyle w:val="3"/>
        <w:rPr>
          <w:rFonts w:hint="eastAsia" w:ascii="仿宋" w:hAnsi="仿宋" w:eastAsia="仿宋" w:cs="仿宋"/>
          <w:bCs/>
          <w:kern w:val="2"/>
          <w:sz w:val="28"/>
          <w:szCs w:val="28"/>
        </w:rPr>
      </w:pPr>
      <w:r>
        <w:rPr>
          <w:rFonts w:hint="eastAsia" w:ascii="仿宋" w:hAnsi="仿宋" w:eastAsia="仿宋" w:cs="仿宋"/>
          <w:bCs/>
          <w:kern w:val="2"/>
          <w:sz w:val="28"/>
          <w:szCs w:val="28"/>
        </w:rPr>
        <w:t>6、成人型圆形海绵治疗头</w:t>
      </w:r>
      <w:r>
        <w:rPr>
          <w:rFonts w:hint="eastAsia" w:ascii="仿宋" w:hAnsi="仿宋" w:eastAsia="仿宋" w:cs="仿宋"/>
          <w:bCs/>
          <w:kern w:val="2"/>
          <w:sz w:val="28"/>
          <w:szCs w:val="28"/>
        </w:rPr>
        <w:tab/>
      </w:r>
      <w:r>
        <w:rPr>
          <w:rFonts w:hint="eastAsia" w:ascii="仿宋" w:hAnsi="仿宋" w:eastAsia="仿宋" w:cs="仿宋"/>
          <w:bCs/>
          <w:kern w:val="2"/>
          <w:sz w:val="28"/>
          <w:szCs w:val="28"/>
        </w:rPr>
        <w:t>4个</w:t>
      </w:r>
    </w:p>
    <w:p>
      <w:pPr>
        <w:pStyle w:val="3"/>
        <w:rPr>
          <w:rFonts w:hint="eastAsia" w:ascii="仿宋" w:hAnsi="仿宋" w:eastAsia="仿宋" w:cs="仿宋"/>
          <w:bCs/>
          <w:kern w:val="2"/>
          <w:sz w:val="28"/>
          <w:szCs w:val="28"/>
        </w:rPr>
      </w:pPr>
      <w:r>
        <w:rPr>
          <w:rFonts w:hint="eastAsia" w:ascii="仿宋" w:hAnsi="仿宋" w:eastAsia="仿宋" w:cs="仿宋"/>
          <w:bCs/>
          <w:kern w:val="2"/>
          <w:sz w:val="28"/>
          <w:szCs w:val="28"/>
        </w:rPr>
        <w:t>7、成人型叩击接合器</w:t>
      </w:r>
      <w:r>
        <w:rPr>
          <w:rFonts w:hint="eastAsia" w:ascii="仿宋" w:hAnsi="仿宋" w:eastAsia="仿宋" w:cs="仿宋"/>
          <w:bCs/>
          <w:kern w:val="2"/>
          <w:sz w:val="28"/>
          <w:szCs w:val="28"/>
        </w:rPr>
        <w:tab/>
      </w:r>
      <w:r>
        <w:rPr>
          <w:rFonts w:hint="eastAsia" w:ascii="仿宋" w:hAnsi="仿宋" w:eastAsia="仿宋" w:cs="仿宋"/>
          <w:bCs/>
          <w:kern w:val="2"/>
          <w:sz w:val="28"/>
          <w:szCs w:val="28"/>
        </w:rPr>
        <w:t>2个</w:t>
      </w:r>
    </w:p>
    <w:p>
      <w:pPr>
        <w:pStyle w:val="3"/>
        <w:rPr>
          <w:rFonts w:hint="eastAsia" w:ascii="仿宋" w:hAnsi="仿宋" w:eastAsia="仿宋" w:cs="仿宋"/>
          <w:bCs/>
          <w:kern w:val="2"/>
          <w:sz w:val="28"/>
          <w:szCs w:val="28"/>
        </w:rPr>
      </w:pPr>
      <w:r>
        <w:rPr>
          <w:rFonts w:hint="eastAsia" w:ascii="仿宋" w:hAnsi="仿宋" w:eastAsia="仿宋" w:cs="仿宋"/>
          <w:bCs/>
          <w:kern w:val="2"/>
          <w:sz w:val="28"/>
          <w:szCs w:val="28"/>
        </w:rPr>
        <w:t>8、适配无纺布包套</w:t>
      </w:r>
      <w:r>
        <w:rPr>
          <w:rFonts w:hint="eastAsia" w:ascii="仿宋" w:hAnsi="仿宋" w:eastAsia="仿宋" w:cs="仿宋"/>
          <w:bCs/>
          <w:kern w:val="2"/>
          <w:sz w:val="28"/>
          <w:szCs w:val="28"/>
        </w:rPr>
        <w:tab/>
      </w:r>
      <w:r>
        <w:rPr>
          <w:rFonts w:hint="eastAsia" w:ascii="仿宋" w:hAnsi="仿宋" w:eastAsia="仿宋" w:cs="仿宋"/>
          <w:bCs/>
          <w:kern w:val="2"/>
          <w:sz w:val="28"/>
          <w:szCs w:val="28"/>
        </w:rPr>
        <w:t>30个</w:t>
      </w:r>
    </w:p>
    <w:p>
      <w:pPr>
        <w:pStyle w:val="3"/>
        <w:rPr>
          <w:rFonts w:hint="default"/>
          <w:lang w:val="en-US" w:eastAsia="zh-CN"/>
        </w:rPr>
      </w:pPr>
    </w:p>
    <w:p>
      <w:pPr>
        <w:pStyle w:val="2"/>
        <w:rPr>
          <w:rFonts w:hint="default"/>
          <w:lang w:val="en-US" w:eastAsia="zh-CN"/>
        </w:rPr>
      </w:pPr>
    </w:p>
    <w:p>
      <w:pPr>
        <w:pStyle w:val="3"/>
        <w:spacing w:line="276" w:lineRule="auto"/>
        <w:rPr>
          <w:highlight w:val="none"/>
        </w:rPr>
      </w:pPr>
    </w:p>
    <w:p>
      <w:pPr>
        <w:pStyle w:val="3"/>
        <w:spacing w:line="276" w:lineRule="auto"/>
        <w:rPr>
          <w:highlight w:val="none"/>
        </w:rPr>
      </w:pPr>
    </w:p>
    <w:p>
      <w:pPr>
        <w:pStyle w:val="3"/>
        <w:spacing w:line="276" w:lineRule="auto"/>
        <w:ind w:firstLine="360"/>
        <w:rPr>
          <w:highlight w:val="none"/>
        </w:rPr>
      </w:pP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商务需求：</w:t>
      </w:r>
    </w:p>
    <w:p>
      <w:pPr>
        <w:rPr>
          <w:rFonts w:hint="eastAsia" w:ascii="仿宋" w:hAnsi="仿宋" w:eastAsia="仿宋" w:cs="仿宋"/>
          <w:sz w:val="28"/>
          <w:szCs w:val="28"/>
        </w:rPr>
      </w:pPr>
      <w:r>
        <w:rPr>
          <w:rFonts w:hint="eastAsia" w:ascii="仿宋" w:hAnsi="仿宋" w:eastAsia="仿宋" w:cs="仿宋"/>
          <w:sz w:val="28"/>
          <w:szCs w:val="28"/>
        </w:rPr>
        <w:t>1、交货地点：采购人指定地点。</w:t>
      </w:r>
    </w:p>
    <w:p>
      <w:pPr>
        <w:rPr>
          <w:rFonts w:hint="eastAsia" w:ascii="仿宋" w:hAnsi="仿宋" w:eastAsia="仿宋" w:cs="仿宋"/>
          <w:sz w:val="28"/>
          <w:szCs w:val="28"/>
        </w:rPr>
      </w:pPr>
      <w:r>
        <w:rPr>
          <w:rFonts w:hint="eastAsia" w:ascii="仿宋" w:hAnsi="仿宋" w:eastAsia="仿宋" w:cs="仿宋"/>
          <w:sz w:val="28"/>
          <w:szCs w:val="28"/>
        </w:rPr>
        <w:t>2、交货时间：</w:t>
      </w:r>
      <w:r>
        <w:rPr>
          <w:rFonts w:hint="eastAsia" w:ascii="仿宋" w:hAnsi="仿宋" w:eastAsia="仿宋" w:cs="仿宋"/>
          <w:sz w:val="28"/>
          <w:szCs w:val="28"/>
          <w:highlight w:val="yellow"/>
        </w:rPr>
        <w:t>30天</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t xml:space="preserve">本项目为交钥匙工程，成交供应商必须在合同签订后 </w:t>
      </w:r>
      <w:r>
        <w:rPr>
          <w:rFonts w:hint="eastAsia" w:ascii="仿宋" w:hAnsi="仿宋" w:eastAsia="仿宋" w:cs="仿宋"/>
          <w:sz w:val="28"/>
          <w:szCs w:val="28"/>
          <w:highlight w:val="yellow"/>
        </w:rPr>
        <w:t>30天</w:t>
      </w:r>
      <w:r>
        <w:rPr>
          <w:rFonts w:hint="eastAsia" w:ascii="仿宋" w:hAnsi="仿宋" w:eastAsia="仿宋" w:cs="仿宋"/>
          <w:sz w:val="28"/>
          <w:szCs w:val="28"/>
        </w:rPr>
        <w:t>内供货、安装、调试，交付使用，并做好相关培训工作。</w:t>
      </w:r>
    </w:p>
    <w:p>
      <w:pPr>
        <w:rPr>
          <w:rFonts w:hint="eastAsia" w:ascii="仿宋" w:hAnsi="仿宋" w:eastAsia="仿宋" w:cs="仿宋"/>
          <w:sz w:val="28"/>
          <w:szCs w:val="28"/>
        </w:rPr>
      </w:pPr>
      <w:r>
        <w:rPr>
          <w:rFonts w:hint="eastAsia" w:ascii="仿宋" w:hAnsi="仿宋" w:eastAsia="仿宋" w:cs="仿宋"/>
          <w:sz w:val="28"/>
          <w:szCs w:val="28"/>
        </w:rPr>
        <w:t>3、验收</w:t>
      </w:r>
    </w:p>
    <w:p>
      <w:pPr>
        <w:rPr>
          <w:rFonts w:hint="eastAsia" w:ascii="仿宋" w:hAnsi="仿宋" w:eastAsia="仿宋" w:cs="仿宋"/>
          <w:sz w:val="28"/>
          <w:szCs w:val="28"/>
        </w:rPr>
      </w:pPr>
      <w:r>
        <w:rPr>
          <w:rFonts w:hint="eastAsia" w:ascii="仿宋" w:hAnsi="仿宋" w:eastAsia="仿宋" w:cs="仿宋"/>
          <w:sz w:val="28"/>
          <w:szCs w:val="28"/>
        </w:rPr>
        <w:t>由采购人进行验收，设备完成安装调试达到可使用状态后试用无故障并收到成交供应商书面验收申请后按成交供应商响应文件逐条进行正式验收。如有必要，可请第三方验收。</w:t>
      </w:r>
    </w:p>
    <w:p>
      <w:pPr>
        <w:rPr>
          <w:rFonts w:hint="eastAsia" w:ascii="仿宋" w:hAnsi="仿宋" w:eastAsia="仿宋" w:cs="仿宋"/>
          <w:sz w:val="28"/>
          <w:szCs w:val="28"/>
        </w:rPr>
      </w:pPr>
      <w:r>
        <w:rPr>
          <w:rFonts w:hint="eastAsia" w:ascii="仿宋" w:hAnsi="仿宋" w:eastAsia="仿宋" w:cs="仿宋"/>
          <w:sz w:val="28"/>
          <w:szCs w:val="28"/>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rPr>
          <w:rFonts w:hint="eastAsia" w:ascii="仿宋" w:hAnsi="仿宋" w:eastAsia="仿宋" w:cs="仿宋"/>
          <w:sz w:val="28"/>
          <w:szCs w:val="28"/>
        </w:rPr>
      </w:pPr>
      <w:r>
        <w:rPr>
          <w:rFonts w:hint="eastAsia" w:ascii="仿宋" w:hAnsi="仿宋" w:eastAsia="仿宋" w:cs="仿宋"/>
          <w:sz w:val="28"/>
          <w:szCs w:val="28"/>
        </w:rPr>
        <w:t>（2）试运行：如在试用期间设备发生故障，以故障解决之日起重新计算试用时间，如验收前发生3次及以上设备故障，成交供应商需更换全新设备，更换设备后重新计算试用时间，更换后的设备在试用期仍出现3次及以上设备故障，采购人有权解除合同。</w:t>
      </w:r>
    </w:p>
    <w:p>
      <w:pPr>
        <w:rPr>
          <w:rFonts w:hint="eastAsia" w:ascii="仿宋" w:hAnsi="仿宋" w:eastAsia="仿宋" w:cs="仿宋"/>
          <w:sz w:val="28"/>
          <w:szCs w:val="28"/>
        </w:rPr>
      </w:pPr>
      <w:r>
        <w:rPr>
          <w:rFonts w:hint="eastAsia" w:ascii="仿宋" w:hAnsi="仿宋" w:eastAsia="仿宋" w:cs="仿宋"/>
          <w:sz w:val="28"/>
          <w:szCs w:val="28"/>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rPr>
          <w:rFonts w:hint="eastAsia" w:ascii="仿宋" w:hAnsi="仿宋" w:eastAsia="仿宋" w:cs="仿宋"/>
          <w:sz w:val="28"/>
          <w:szCs w:val="28"/>
        </w:rPr>
      </w:pPr>
      <w:r>
        <w:rPr>
          <w:rFonts w:hint="eastAsia" w:ascii="仿宋" w:hAnsi="仿宋" w:eastAsia="仿宋" w:cs="仿宋"/>
          <w:sz w:val="28"/>
          <w:szCs w:val="28"/>
        </w:rPr>
        <w:t>4、售后服务</w:t>
      </w:r>
    </w:p>
    <w:p>
      <w:pPr>
        <w:rPr>
          <w:rFonts w:hint="eastAsia" w:ascii="仿宋" w:hAnsi="仿宋" w:eastAsia="仿宋" w:cs="仿宋"/>
          <w:sz w:val="28"/>
          <w:szCs w:val="28"/>
        </w:rPr>
      </w:pPr>
      <w:r>
        <w:rPr>
          <w:rFonts w:hint="eastAsia" w:ascii="仿宋" w:hAnsi="仿宋" w:eastAsia="仿宋" w:cs="仿宋"/>
          <w:sz w:val="28"/>
          <w:szCs w:val="28"/>
        </w:rPr>
        <w:t>4.1、相关售后服务响应承诺及资料</w:t>
      </w:r>
    </w:p>
    <w:p>
      <w:pPr>
        <w:rPr>
          <w:rFonts w:hint="eastAsia" w:ascii="仿宋" w:hAnsi="仿宋" w:eastAsia="仿宋" w:cs="仿宋"/>
          <w:sz w:val="28"/>
          <w:szCs w:val="28"/>
        </w:rPr>
      </w:pPr>
      <w:r>
        <w:rPr>
          <w:rFonts w:hint="eastAsia" w:ascii="仿宋" w:hAnsi="仿宋" w:eastAsia="仿宋" w:cs="仿宋"/>
          <w:sz w:val="28"/>
          <w:szCs w:val="28"/>
        </w:rPr>
        <w:t>（1）安装和调试：成交供应商负责派厂家技术人员到现场进行免费安装调试，直至验收合格；成交供应商应在设备运抵现场一周前，向采购人提供设备安装调试及运行的进度计划表。</w:t>
      </w:r>
    </w:p>
    <w:p>
      <w:pPr>
        <w:rPr>
          <w:rFonts w:hint="eastAsia" w:ascii="仿宋" w:hAnsi="仿宋" w:eastAsia="仿宋" w:cs="仿宋"/>
          <w:sz w:val="28"/>
          <w:szCs w:val="28"/>
        </w:rPr>
      </w:pPr>
      <w:r>
        <w:rPr>
          <w:rFonts w:hint="eastAsia" w:ascii="仿宋" w:hAnsi="仿宋" w:eastAsia="仿宋" w:cs="仿宋"/>
          <w:sz w:val="28"/>
          <w:szCs w:val="28"/>
        </w:rPr>
        <w:t>（2）技术培训：成交供应商应负责对采购人人员进行现场培训，直至采购人人员能完全操作和维护设备。</w:t>
      </w:r>
    </w:p>
    <w:p>
      <w:pPr>
        <w:rPr>
          <w:rFonts w:hint="eastAsia" w:ascii="仿宋" w:hAnsi="仿宋" w:eastAsia="仿宋" w:cs="仿宋"/>
          <w:sz w:val="28"/>
          <w:szCs w:val="28"/>
        </w:rPr>
      </w:pPr>
      <w:r>
        <w:rPr>
          <w:rFonts w:hint="eastAsia" w:ascii="仿宋" w:hAnsi="仿宋" w:eastAsia="仿宋" w:cs="仿宋"/>
          <w:sz w:val="28"/>
          <w:szCs w:val="28"/>
        </w:rPr>
        <w:t>（3）免费质量保证（修）期：所投货物必须提供</w:t>
      </w:r>
      <w:r>
        <w:rPr>
          <w:rFonts w:hint="eastAsia" w:ascii="仿宋" w:hAnsi="仿宋" w:eastAsia="仿宋" w:cs="仿宋"/>
          <w:sz w:val="28"/>
          <w:szCs w:val="28"/>
          <w:highlight w:val="yellow"/>
        </w:rPr>
        <w:t>叁</w:t>
      </w:r>
      <w:r>
        <w:rPr>
          <w:rFonts w:hint="eastAsia" w:ascii="仿宋" w:hAnsi="仿宋" w:eastAsia="仿宋" w:cs="仿宋"/>
          <w:sz w:val="28"/>
          <w:szCs w:val="28"/>
        </w:rPr>
        <w:t>年（含</w:t>
      </w:r>
      <w:r>
        <w:rPr>
          <w:rFonts w:hint="eastAsia" w:ascii="仿宋" w:hAnsi="仿宋" w:eastAsia="仿宋" w:cs="仿宋"/>
          <w:sz w:val="28"/>
          <w:szCs w:val="28"/>
          <w:highlight w:val="yellow"/>
        </w:rPr>
        <w:t>叁</w:t>
      </w:r>
      <w:r>
        <w:rPr>
          <w:rFonts w:hint="eastAsia" w:ascii="仿宋" w:hAnsi="仿宋" w:eastAsia="仿宋" w:cs="仿宋"/>
          <w:sz w:val="28"/>
          <w:szCs w:val="28"/>
        </w:rPr>
        <w:t>年，采购需求另有规定除外）以上的质保期，质保期经安装调试、验收合格之日起计算。（技术参数要求有规定的，以其规定为准，投标人有优于招标文件承诺的以其承诺为准）。质保期内，成交供应商负责对其提供的货物和工程进行维修和附件（包括耗材）的维护，不再收取任何费用。</w:t>
      </w:r>
    </w:p>
    <w:p>
      <w:pPr>
        <w:rPr>
          <w:rFonts w:hint="eastAsia" w:ascii="仿宋" w:hAnsi="仿宋" w:eastAsia="仿宋" w:cs="仿宋"/>
          <w:sz w:val="28"/>
          <w:szCs w:val="28"/>
        </w:rPr>
      </w:pPr>
      <w:r>
        <w:rPr>
          <w:rFonts w:hint="eastAsia" w:ascii="仿宋" w:hAnsi="仿宋" w:eastAsia="仿宋" w:cs="仿宋"/>
          <w:sz w:val="28"/>
          <w:szCs w:val="28"/>
        </w:rPr>
        <w:t>（4）故障响应时间：如果设备发生故障，成交供应商需按照约定的时间处理故障，违约金按到场时间每迟一天，按合同总价的</w:t>
      </w:r>
      <w:r>
        <w:rPr>
          <w:rFonts w:hint="eastAsia" w:ascii="仿宋" w:hAnsi="仿宋" w:eastAsia="仿宋" w:cs="仿宋"/>
          <w:sz w:val="28"/>
          <w:szCs w:val="28"/>
          <w:highlight w:val="yellow"/>
        </w:rPr>
        <w:t>2‰</w:t>
      </w:r>
      <w:r>
        <w:rPr>
          <w:rFonts w:hint="eastAsia" w:ascii="仿宋" w:hAnsi="仿宋" w:eastAsia="仿宋" w:cs="仿宋"/>
          <w:sz w:val="28"/>
          <w:szCs w:val="28"/>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rPr>
          <w:rFonts w:hint="eastAsia" w:ascii="仿宋" w:hAnsi="仿宋" w:eastAsia="仿宋" w:cs="仿宋"/>
          <w:sz w:val="28"/>
          <w:szCs w:val="28"/>
        </w:rPr>
      </w:pPr>
      <w:r>
        <w:rPr>
          <w:rFonts w:hint="eastAsia" w:ascii="仿宋" w:hAnsi="仿宋" w:eastAsia="仿宋" w:cs="仿宋"/>
          <w:sz w:val="28"/>
          <w:szCs w:val="28"/>
        </w:rPr>
        <w:t>（5）质保期满后，成交供应商应提供终身维修，用户只付零配件的费用，能长期提供良好的技术支持及零部件的优惠供应。</w:t>
      </w:r>
    </w:p>
    <w:p>
      <w:pPr>
        <w:rPr>
          <w:rFonts w:hint="eastAsia" w:ascii="仿宋" w:hAnsi="仿宋" w:eastAsia="仿宋" w:cs="仿宋"/>
          <w:sz w:val="28"/>
          <w:szCs w:val="28"/>
        </w:rPr>
      </w:pPr>
      <w:r>
        <w:rPr>
          <w:rFonts w:hint="eastAsia" w:ascii="仿宋" w:hAnsi="仿宋" w:eastAsia="仿宋" w:cs="仿宋"/>
          <w:sz w:val="28"/>
          <w:szCs w:val="28"/>
        </w:rPr>
        <w:t>（6）免费与医院信息系统对接端口，其接入产生的费用由成交供应商承担（包含在报价中），由制造商或国内授权代理商出具售后服务承诺书。</w:t>
      </w:r>
    </w:p>
    <w:p>
      <w:pPr>
        <w:pStyle w:val="3"/>
        <w:rPr>
          <w:rFonts w:hint="default" w:eastAsia="仿宋"/>
          <w:b/>
          <w:bCs/>
          <w:lang w:val="en-US" w:eastAsia="zh-CN"/>
        </w:rPr>
      </w:pPr>
    </w:p>
    <w:p>
      <w:pPr>
        <w:pStyle w:val="3"/>
        <w:rPr>
          <w:rFonts w:hint="eastAsia"/>
        </w:rPr>
      </w:pPr>
    </w:p>
    <w:p>
      <w:pPr>
        <w:pStyle w:val="3"/>
        <w:rPr>
          <w:rFonts w:hint="default" w:ascii="仿宋" w:hAnsi="仿宋" w:eastAsia="仿宋" w:cs="仿宋"/>
          <w:color w:val="auto"/>
          <w:highlight w:val="none"/>
          <w:lang w:val="en-US" w:eastAsia="zh-CN"/>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4"/>
        <w:jc w:val="both"/>
        <w:rPr>
          <w:rFonts w:hint="eastAsia" w:ascii="仿宋" w:hAnsi="仿宋" w:eastAsia="仿宋" w:cs="仿宋"/>
          <w:color w:val="auto"/>
          <w:highlight w:val="none"/>
        </w:rPr>
      </w:pPr>
    </w:p>
    <w:p>
      <w:pPr>
        <w:jc w:val="center"/>
        <w:rPr>
          <w:rFonts w:hint="eastAsia" w:ascii="仿宋" w:hAnsi="仿宋" w:eastAsia="仿宋" w:cs="仿宋"/>
          <w:color w:val="auto"/>
          <w:sz w:val="84"/>
          <w:szCs w:val="84"/>
          <w:highlight w:val="none"/>
          <w:lang w:eastAsia="zh-CN"/>
        </w:rPr>
      </w:pPr>
    </w:p>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pStyle w:val="2"/>
        <w:rPr>
          <w:rFonts w:hint="eastAsia" w:ascii="仿宋" w:hAnsi="仿宋" w:eastAsia="仿宋" w:cs="仿宋"/>
          <w:color w:val="auto"/>
          <w:sz w:val="84"/>
          <w:szCs w:val="84"/>
          <w:highlight w:val="none"/>
          <w:lang w:eastAsia="zh-CN"/>
        </w:rPr>
      </w:pPr>
    </w:p>
    <w:p>
      <w:pPr>
        <w:pStyle w:val="3"/>
        <w:rPr>
          <w:rFonts w:hint="eastAsia"/>
          <w:lang w:eastAsia="zh-CN"/>
        </w:rPr>
      </w:pPr>
    </w:p>
    <w:p>
      <w:pPr>
        <w:pStyle w:val="9"/>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center"/>
        <w:rPr>
          <w:rFonts w:hint="eastAsia" w:ascii="仿宋" w:hAnsi="仿宋" w:eastAsia="仿宋" w:cs="仿宋"/>
          <w:color w:val="auto"/>
          <w:highlight w:val="none"/>
        </w:rPr>
      </w:pPr>
      <w:bookmarkStart w:id="21" w:name="_Toc919"/>
      <w:bookmarkStart w:id="22" w:name="_Toc5315"/>
    </w:p>
    <w:p>
      <w:pPr>
        <w:pStyle w:val="5"/>
        <w:spacing w:before="0" w:after="0" w:line="460" w:lineRule="exact"/>
        <w:ind w:left="0" w:leftChars="0" w:firstLine="0" w:firstLineChars="0"/>
        <w:jc w:val="both"/>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1"/>
      <w:bookmarkEnd w:id="22"/>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3" w:name="_Toc22759"/>
      <w:bookmarkStart w:id="24" w:name="_Toc331493648"/>
      <w:bookmarkStart w:id="25" w:name="_Toc19814"/>
      <w:bookmarkStart w:id="26" w:name="_Toc413396840"/>
    </w:p>
    <w:p>
      <w:pPr>
        <w:rPr>
          <w:rFonts w:hint="eastAsia" w:ascii="仿宋" w:hAnsi="仿宋" w:eastAsia="仿宋" w:cs="仿宋"/>
          <w:color w:val="auto"/>
          <w:highlight w:val="none"/>
        </w:rPr>
      </w:pPr>
    </w:p>
    <w:bookmarkEnd w:id="23"/>
    <w:bookmarkEnd w:id="24"/>
    <w:bookmarkEnd w:id="25"/>
    <w:bookmarkEnd w:id="26"/>
    <w:p>
      <w:pPr>
        <w:pStyle w:val="5"/>
        <w:ind w:left="0" w:leftChars="0" w:firstLine="0" w:firstLineChars="0"/>
        <w:jc w:val="center"/>
        <w:rPr>
          <w:rFonts w:hint="eastAsia" w:ascii="仿宋" w:hAnsi="仿宋" w:eastAsia="仿宋" w:cs="仿宋"/>
          <w:color w:val="auto"/>
          <w:kern w:val="0"/>
          <w:highlight w:val="none"/>
        </w:rPr>
      </w:pPr>
      <w:bookmarkStart w:id="27" w:name="_Toc480191543"/>
      <w:bookmarkStart w:id="28" w:name="_Toc485736232"/>
      <w:bookmarkStart w:id="29" w:name="_Toc1161"/>
      <w:bookmarkStart w:id="30" w:name="_Toc6176"/>
      <w:bookmarkStart w:id="31" w:name="_Toc413396845"/>
      <w:bookmarkStart w:id="32" w:name="_Toc331493653"/>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2"/>
        <w:rPr>
          <w:rFonts w:hint="eastAsia" w:ascii="仿宋" w:hAnsi="仿宋" w:eastAsia="仿宋" w:cs="仿宋"/>
          <w:color w:val="auto"/>
          <w:highlight w:val="none"/>
        </w:rPr>
      </w:pPr>
    </w:p>
    <w:tbl>
      <w:tblPr>
        <w:tblStyle w:val="17"/>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highlight w:val="none"/>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bookmarkEnd w:id="29"/>
    <w:bookmarkEnd w:id="30"/>
    <w:bookmarkEnd w:id="31"/>
    <w:bookmarkEnd w:id="32"/>
    <w:p>
      <w:pPr>
        <w:pStyle w:val="5"/>
        <w:spacing w:before="0" w:after="0" w:line="460" w:lineRule="exact"/>
        <w:ind w:firstLine="0"/>
        <w:jc w:val="both"/>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3" w:name="_Toc23201"/>
      <w:bookmarkStart w:id="34" w:name="_Toc7073"/>
      <w:bookmarkStart w:id="35" w:name="_Toc413396854"/>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bookmarkEnd w:id="33"/>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6"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6"/>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37" w:name="_Toc469749011"/>
      <w:bookmarkStart w:id="38" w:name="_Toc3874"/>
      <w:bookmarkStart w:id="39" w:name="_Toc423337568"/>
      <w:r>
        <w:rPr>
          <w:rFonts w:ascii="Arial" w:hAnsi="Arial" w:eastAsia="黑体"/>
          <w:b/>
          <w:bCs/>
          <w:sz w:val="32"/>
          <w:szCs w:val="32"/>
          <w:highlight w:val="none"/>
        </w:rPr>
        <w:t>5.</w:t>
      </w:r>
      <w:r>
        <w:rPr>
          <w:rFonts w:hint="eastAsia" w:ascii="Arial" w:hAnsi="Arial" w:eastAsia="黑体"/>
          <w:b/>
          <w:bCs/>
          <w:sz w:val="32"/>
          <w:szCs w:val="32"/>
          <w:highlight w:val="none"/>
        </w:rPr>
        <w:t>技术文件</w:t>
      </w:r>
      <w:bookmarkEnd w:id="37"/>
      <w:bookmarkEnd w:id="38"/>
      <w:bookmarkEnd w:id="39"/>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内容包括：</w:t>
      </w:r>
    </w:p>
    <w:p>
      <w:pPr>
        <w:spacing w:line="500" w:lineRule="exact"/>
        <w:ind w:firstLine="500" w:firstLineChars="200"/>
        <w:rPr>
          <w:rFonts w:ascii="宋体" w:hAnsi="宋体"/>
          <w:color w:val="auto"/>
          <w:sz w:val="25"/>
          <w:szCs w:val="25"/>
          <w:highlight w:val="none"/>
        </w:rPr>
      </w:pPr>
      <w:r>
        <w:rPr>
          <w:rFonts w:hint="eastAsia" w:ascii="宋体" w:hAnsi="宋体"/>
          <w:sz w:val="25"/>
          <w:szCs w:val="25"/>
          <w:highlight w:val="none"/>
        </w:rPr>
        <w:t>1、货物的技术</w:t>
      </w:r>
      <w:r>
        <w:rPr>
          <w:rFonts w:hint="eastAsia" w:ascii="宋体" w:hAnsi="宋体"/>
          <w:color w:val="auto"/>
          <w:sz w:val="25"/>
          <w:szCs w:val="25"/>
          <w:highlight w:val="none"/>
        </w:rPr>
        <w:t>规格与功能的详细说明</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2、主要外购件、配套件的型号规格和制造商明细表</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3、标准附件、备品备件和专用工具等</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4、常用的、容易损坏的备品备件及易损件的价格清单等</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5、响应供应商认为需要说明的其他内容（响应供应商视需要自行编写）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40" w:name="_Toc23487"/>
      <w:bookmarkStart w:id="41" w:name="_Toc423337570"/>
      <w:bookmarkStart w:id="42" w:name="_Toc469749013"/>
      <w:r>
        <w:rPr>
          <w:rFonts w:ascii="Arial" w:hAnsi="Arial" w:eastAsia="黑体"/>
          <w:b/>
          <w:bCs/>
          <w:sz w:val="32"/>
          <w:szCs w:val="32"/>
          <w:highlight w:val="none"/>
        </w:rPr>
        <w:t>6</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40"/>
      <w:bookmarkEnd w:id="41"/>
      <w:bookmarkEnd w:id="42"/>
    </w:p>
    <w:p>
      <w:pPr>
        <w:spacing w:line="500" w:lineRule="exact"/>
        <w:ind w:firstLine="1250" w:firstLineChars="500"/>
        <w:rPr>
          <w:rFonts w:hint="eastAsia" w:ascii="宋体" w:hAnsi="宋体"/>
          <w:sz w:val="25"/>
          <w:szCs w:val="25"/>
          <w:highlight w:val="none"/>
        </w:rPr>
      </w:pPr>
      <w:bookmarkStart w:id="43" w:name="_Toc423337571"/>
      <w:bookmarkStart w:id="44" w:name="_Toc417890583"/>
      <w:bookmarkStart w:id="45"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2"/>
        <w:rPr>
          <w:rFonts w:hint="eastAsia"/>
          <w:highlight w:val="none"/>
        </w:rPr>
      </w:pPr>
    </w:p>
    <w:bookmarkEnd w:id="43"/>
    <w:bookmarkEnd w:id="44"/>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6" w:name="_Toc423357540"/>
      <w:bookmarkStart w:id="47" w:name="_Toc469749014"/>
      <w:bookmarkStart w:id="48" w:name="_Toc24750"/>
      <w:r>
        <w:rPr>
          <w:rFonts w:hint="eastAsia" w:ascii="Arial" w:hAnsi="Arial" w:eastAsia="黑体"/>
          <w:b/>
          <w:bCs/>
          <w:sz w:val="32"/>
          <w:szCs w:val="32"/>
          <w:highlight w:val="none"/>
        </w:rPr>
        <w:t>7</w:t>
      </w:r>
      <w:bookmarkEnd w:id="46"/>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7"/>
      <w:bookmarkEnd w:id="48"/>
      <w:r>
        <w:rPr>
          <w:rFonts w:ascii="Arial" w:hAnsi="Arial" w:eastAsia="黑体"/>
          <w:b/>
          <w:bCs/>
          <w:sz w:val="32"/>
          <w:szCs w:val="32"/>
          <w:highlight w:val="none"/>
        </w:rPr>
        <w:t xml:space="preserve"> </w:t>
      </w:r>
    </w:p>
    <w:bookmarkEnd w:id="45"/>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highlight w:val="none"/>
          <w:lang w:eastAsia="zh-CN"/>
        </w:rPr>
      </w:pPr>
      <w:bookmarkStart w:id="49" w:name="_Toc25526"/>
    </w:p>
    <w:p>
      <w:pPr>
        <w:pStyle w:val="5"/>
        <w:rPr>
          <w:rFonts w:hint="eastAsia"/>
          <w:highlight w:val="none"/>
        </w:rPr>
      </w:pPr>
      <w:bookmarkStart w:id="50" w:name="_Toc31359"/>
      <w:r>
        <w:rPr>
          <w:rFonts w:hint="eastAsia"/>
          <w:highlight w:val="none"/>
          <w:lang w:eastAsia="zh-CN"/>
        </w:rPr>
        <w:t>8.</w:t>
      </w:r>
      <w:r>
        <w:rPr>
          <w:rFonts w:hint="eastAsia"/>
          <w:highlight w:val="none"/>
        </w:rPr>
        <w:t>依法缴纳税收证明</w:t>
      </w:r>
      <w:bookmarkEnd w:id="49"/>
      <w:bookmarkEnd w:id="50"/>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2"/>
        <w:rPr>
          <w:rFonts w:hint="eastAsia" w:ascii="宋体" w:hAnsi="宋体"/>
          <w:sz w:val="25"/>
          <w:szCs w:val="25"/>
          <w:highlight w:val="none"/>
        </w:rPr>
      </w:pPr>
    </w:p>
    <w:p>
      <w:pPr>
        <w:pStyle w:val="5"/>
        <w:rPr>
          <w:rFonts w:hint="eastAsia"/>
          <w:highlight w:val="none"/>
          <w:lang w:eastAsia="zh-CN"/>
        </w:rPr>
      </w:pPr>
      <w:bookmarkStart w:id="51" w:name="_Toc4678"/>
    </w:p>
    <w:p>
      <w:pPr>
        <w:pStyle w:val="5"/>
        <w:rPr>
          <w:rFonts w:hint="eastAsia"/>
          <w:highlight w:val="none"/>
        </w:rPr>
      </w:pPr>
      <w:bookmarkStart w:id="52" w:name="_Toc14430"/>
      <w:r>
        <w:rPr>
          <w:rFonts w:hint="eastAsia"/>
          <w:highlight w:val="none"/>
          <w:lang w:eastAsia="zh-CN"/>
        </w:rPr>
        <w:t>9.</w:t>
      </w:r>
      <w:r>
        <w:rPr>
          <w:rFonts w:hint="eastAsia"/>
          <w:highlight w:val="none"/>
        </w:rPr>
        <w:t>依法缴纳社会保障资金的相关材料</w:t>
      </w:r>
      <w:bookmarkEnd w:id="51"/>
      <w:bookmarkEnd w:id="52"/>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5"/>
        <w:rPr>
          <w:rFonts w:hint="eastAsia"/>
          <w:color w:val="auto"/>
          <w:highlight w:val="none"/>
        </w:rPr>
      </w:pPr>
      <w:bookmarkStart w:id="53" w:name="_Toc26349"/>
      <w:bookmarkStart w:id="54" w:name="_Toc3387"/>
      <w:r>
        <w:rPr>
          <w:b w:val="0"/>
          <w:bCs w:val="0"/>
          <w:color w:val="auto"/>
          <w:highlight w:val="none"/>
        </w:rPr>
        <w:t>10</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53"/>
      <w:bookmarkEnd w:id="54"/>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5" w:name="_Toc4577"/>
      <w:bookmarkStart w:id="56" w:name="_Toc225"/>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5"/>
      <w:bookmarkEnd w:id="56"/>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57" w:name="_Toc469749018"/>
      <w:bookmarkStart w:id="58" w:name="_Toc423337575"/>
      <w:bookmarkStart w:id="59" w:name="_Toc11819"/>
      <w:r>
        <w:rPr>
          <w:rFonts w:ascii="Arial" w:hAnsi="Arial" w:eastAsia="黑体"/>
          <w:b/>
          <w:bCs/>
          <w:color w:val="auto"/>
          <w:sz w:val="32"/>
          <w:szCs w:val="32"/>
          <w:highlight w:val="none"/>
        </w:rPr>
        <w:t>11</w:t>
      </w:r>
      <w:r>
        <w:rPr>
          <w:rFonts w:hint="eastAsia" w:ascii="Arial" w:hAnsi="Arial" w:eastAsia="黑体"/>
          <w:b/>
          <w:bCs/>
          <w:color w:val="auto"/>
          <w:sz w:val="32"/>
          <w:szCs w:val="32"/>
          <w:highlight w:val="none"/>
        </w:rPr>
        <w:t>.法定代表人（经营者、单位负责人）授权书（格式）</w:t>
      </w:r>
      <w:bookmarkEnd w:id="57"/>
      <w:bookmarkEnd w:id="58"/>
      <w:bookmarkEnd w:id="59"/>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7"/>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60" w:name="_Toc423337576"/>
    </w:p>
    <w:p>
      <w:pPr>
        <w:pStyle w:val="5"/>
        <w:ind w:left="0" w:leftChars="0" w:firstLine="0" w:firstLineChars="0"/>
        <w:jc w:val="both"/>
        <w:rPr>
          <w:highlight w:val="none"/>
        </w:rPr>
      </w:pPr>
      <w:r>
        <w:rPr>
          <w:rFonts w:ascii="宋体" w:hAnsi="宋体"/>
          <w:sz w:val="25"/>
          <w:szCs w:val="25"/>
          <w:highlight w:val="none"/>
        </w:rPr>
        <w:br w:type="page"/>
      </w:r>
      <w:bookmarkStart w:id="61" w:name="_Toc469749019"/>
      <w:bookmarkStart w:id="62" w:name="_Toc32460"/>
      <w:r>
        <w:rPr>
          <w:rFonts w:ascii="Arial" w:hAnsi="Arial" w:eastAsia="黑体"/>
          <w:b w:val="0"/>
          <w:bCs w:val="0"/>
          <w:sz w:val="32"/>
          <w:szCs w:val="32"/>
          <w:highlight w:val="none"/>
        </w:rPr>
        <w:t>1</w:t>
      </w:r>
      <w:r>
        <w:rPr>
          <w:rFonts w:hint="eastAsia" w:ascii="Arial" w:hAnsi="Arial" w:eastAsia="黑体"/>
          <w:b w:val="0"/>
          <w:bCs w:val="0"/>
          <w:sz w:val="32"/>
          <w:szCs w:val="32"/>
          <w:highlight w:val="none"/>
          <w:lang w:val="en-US" w:eastAsia="zh-CN"/>
        </w:rPr>
        <w:t>2</w:t>
      </w:r>
      <w:r>
        <w:rPr>
          <w:rFonts w:hint="eastAsia" w:ascii="Arial" w:hAnsi="Arial" w:eastAsia="黑体"/>
          <w:b w:val="0"/>
          <w:bCs w:val="0"/>
          <w:sz w:val="32"/>
          <w:szCs w:val="32"/>
          <w:highlight w:val="none"/>
        </w:rPr>
        <w:t>.</w:t>
      </w:r>
      <w:bookmarkEnd w:id="60"/>
      <w:bookmarkEnd w:id="61"/>
      <w:r>
        <w:rPr>
          <w:rFonts w:hint="eastAsia"/>
          <w:highlight w:val="none"/>
          <w:lang w:eastAsia="zh-CN"/>
        </w:rPr>
        <w:t>基本资格条件承诺函</w:t>
      </w:r>
      <w:r>
        <w:rPr>
          <w:rFonts w:hint="eastAsia"/>
          <w:highlight w:val="none"/>
        </w:rPr>
        <w:t>（格式）</w:t>
      </w:r>
      <w:bookmarkEnd w:id="62"/>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CA0D4"/>
    <w:multiLevelType w:val="singleLevel"/>
    <w:tmpl w:val="95ECA0D4"/>
    <w:lvl w:ilvl="0" w:tentative="0">
      <w:start w:val="1"/>
      <w:numFmt w:val="chineseCounting"/>
      <w:suff w:val="nothing"/>
      <w:lvlText w:val="%1、"/>
      <w:lvlJc w:val="left"/>
      <w:rPr>
        <w:rFonts w:hint="eastAsia"/>
      </w:rPr>
    </w:lvl>
  </w:abstractNum>
  <w:abstractNum w:abstractNumId="1">
    <w:nsid w:val="F6AA51FA"/>
    <w:multiLevelType w:val="singleLevel"/>
    <w:tmpl w:val="F6AA51F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TE1NmIwNTk3ZjY4YTJkNTkxMWVmZjIwODk0NmI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0A94"/>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71954"/>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605F3"/>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semiHidden/>
    <w:unhideWhenUsed/>
    <w:qFormat/>
    <w:uiPriority w:val="0"/>
    <w:pPr>
      <w:jc w:val="left"/>
      <w:outlineLvl w:val="2"/>
    </w:pPr>
    <w:rPr>
      <w:rFonts w:hint="eastAsia" w:ascii="宋体" w:hAnsi="宋体"/>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Arial" w:hAnsi="Arial" w:eastAsia="楷体_GB2312"/>
      <w:b/>
      <w:lang w:eastAsia="en-US"/>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paragraph" w:styleId="16">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0"/>
    <w:rPr>
      <w:b/>
      <w:sz w:val="24"/>
      <w:szCs w:val="24"/>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dr w:val="single" w:color="D6D6D6" w:sz="6" w:space="0"/>
      <w:shd w:val="clear" w:color="auto" w:fill="F9F9F9"/>
    </w:rPr>
  </w:style>
  <w:style w:type="character" w:styleId="24">
    <w:name w:val="HTML Definition"/>
    <w:basedOn w:val="19"/>
    <w:qFormat/>
    <w:uiPriority w:val="0"/>
    <w:rPr>
      <w:color w:val="FFFFFF"/>
      <w:shd w:val="clear" w:color="auto" w:fill="048FD2"/>
    </w:rPr>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ascii="monospace" w:hAnsi="monospace" w:eastAsia="monospace" w:cs="monospace"/>
    </w:rPr>
  </w:style>
  <w:style w:type="character" w:customStyle="1" w:styleId="33">
    <w:name w:val="font31"/>
    <w:basedOn w:val="19"/>
    <w:qFormat/>
    <w:uiPriority w:val="0"/>
    <w:rPr>
      <w:rFonts w:hint="eastAsia" w:ascii="宋体" w:hAnsi="宋体" w:eastAsia="宋体" w:cs="宋体"/>
      <w:color w:val="000000"/>
      <w:sz w:val="20"/>
      <w:szCs w:val="20"/>
      <w:u w:val="none"/>
    </w:rPr>
  </w:style>
  <w:style w:type="character" w:customStyle="1" w:styleId="34">
    <w:name w:val="font01"/>
    <w:basedOn w:val="19"/>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9"/>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9"/>
    <w:qFormat/>
    <w:uiPriority w:val="0"/>
    <w:rPr>
      <w:rFonts w:hint="eastAsia" w:ascii="宋体" w:hAnsi="宋体" w:eastAsia="宋体" w:cs="宋体"/>
      <w:color w:val="000000"/>
      <w:sz w:val="20"/>
      <w:szCs w:val="20"/>
      <w:u w:val="none"/>
      <w:vertAlign w:val="superscript"/>
    </w:rPr>
  </w:style>
  <w:style w:type="character" w:customStyle="1" w:styleId="39">
    <w:name w:val="font111"/>
    <w:basedOn w:val="19"/>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 w:type="table" w:customStyle="1" w:styleId="42">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
    <w:name w:val="Other|1"/>
    <w:basedOn w:val="1"/>
    <w:qFormat/>
    <w:uiPriority w:val="0"/>
    <w:pPr>
      <w:spacing w:line="448" w:lineRule="auto"/>
      <w:ind w:firstLine="400" w:firstLineChars="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37</Pages>
  <Words>11313</Words>
  <Characters>12038</Characters>
  <Lines>111</Lines>
  <Paragraphs>31</Paragraphs>
  <TotalTime>0</TotalTime>
  <ScaleCrop>false</ScaleCrop>
  <LinksUpToDate>false</LinksUpToDate>
  <CharactersWithSpaces>13014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游龙跃</cp:lastModifiedBy>
  <cp:lastPrinted>2021-06-22T07:03:00Z</cp:lastPrinted>
  <dcterms:modified xsi:type="dcterms:W3CDTF">2023-05-26T08:32:26Z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9757BC6343A446379646FE5D8119DCC1</vt:lpwstr>
  </property>
</Properties>
</file>