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1"/>
        </w:numPr>
        <w:ind w:firstLine="643"/>
        <w:rPr>
          <w:sz w:val="32"/>
          <w:szCs w:val="32"/>
        </w:rPr>
      </w:pPr>
      <w:bookmarkStart w:id="0" w:name="_Toc72922047"/>
      <w:r>
        <w:rPr>
          <w:rFonts w:hint="eastAsia"/>
          <w:sz w:val="32"/>
          <w:szCs w:val="32"/>
        </w:rPr>
        <w:t>技术要求</w:t>
      </w:r>
      <w:bookmarkEnd w:id="0"/>
    </w:p>
    <w:p>
      <w:pPr>
        <w:pStyle w:val="4"/>
        <w:numPr>
          <w:ilvl w:val="0"/>
          <w:numId w:val="2"/>
        </w:numPr>
        <w:ind w:left="660" w:leftChars="100" w:hanging="420"/>
        <w:rPr>
          <w:sz w:val="30"/>
          <w:szCs w:val="30"/>
          <w:lang w:val="zh-CN"/>
        </w:rPr>
      </w:pPr>
      <w:r>
        <w:rPr>
          <w:rFonts w:hint="eastAsia"/>
          <w:sz w:val="30"/>
          <w:szCs w:val="30"/>
          <w:lang w:val="zh-CN"/>
        </w:rPr>
        <w:t>系统设计要求</w:t>
      </w:r>
      <w:bookmarkStart w:id="9" w:name="_GoBack"/>
      <w:bookmarkEnd w:id="9"/>
    </w:p>
    <w:p>
      <w:pPr>
        <w:autoSpaceDE w:val="0"/>
        <w:autoSpaceDN w:val="0"/>
        <w:spacing w:line="480" w:lineRule="exact"/>
        <w:ind w:firstLine="480"/>
        <w:jc w:val="left"/>
        <w:rPr>
          <w:rFonts w:ascii="宋体" w:hAnsi="宋体" w:cs="宋体"/>
          <w:kern w:val="0"/>
          <w:lang w:val="zh-CN" w:bidi="zh-CN"/>
        </w:rPr>
      </w:pPr>
      <w:r>
        <w:rPr>
          <w:rFonts w:hint="eastAsia" w:ascii="宋体" w:hAnsi="宋体" w:cs="宋体"/>
          <w:kern w:val="0"/>
          <w:lang w:val="zh-CN" w:bidi="zh-CN"/>
        </w:rPr>
        <w:t>应包括但不限于以下内容：</w:t>
      </w:r>
    </w:p>
    <w:p>
      <w:pPr>
        <w:pStyle w:val="3"/>
        <w:numPr>
          <w:ilvl w:val="0"/>
          <w:numId w:val="3"/>
        </w:numPr>
        <w:ind w:firstLineChars="0"/>
        <w:rPr>
          <w:lang w:val="zh-CN" w:bidi="zh-CN"/>
        </w:rPr>
      </w:pPr>
      <w:r>
        <w:rPr>
          <w:rFonts w:hint="eastAsia"/>
          <w:lang w:val="zh-CN" w:bidi="zh-CN"/>
        </w:rPr>
        <w:t>系统架构</w:t>
      </w:r>
    </w:p>
    <w:p>
      <w:pPr>
        <w:autoSpaceDE w:val="0"/>
        <w:autoSpaceDN w:val="0"/>
        <w:spacing w:line="480" w:lineRule="exact"/>
        <w:ind w:firstLine="480"/>
        <w:jc w:val="left"/>
        <w:rPr>
          <w:rFonts w:ascii="宋体" w:hAnsi="宋体" w:cs="宋体"/>
          <w:kern w:val="0"/>
          <w:lang w:val="zh-CN" w:bidi="zh-CN"/>
        </w:rPr>
      </w:pPr>
      <w:r>
        <w:rPr>
          <w:rFonts w:ascii="宋体" w:hAnsi="宋体" w:cs="宋体"/>
          <w:kern w:val="0"/>
          <w:lang w:val="zh-CN" w:bidi="zh-CN"/>
        </w:rPr>
        <w:t>为满足系统响应速度快、交互性强、安全性高的要求，所提供的应用软件采用C/S系统架构，具有先进性、灵活性，方便维护和扩展。</w:t>
      </w:r>
    </w:p>
    <w:p>
      <w:pPr>
        <w:pStyle w:val="3"/>
        <w:numPr>
          <w:ilvl w:val="0"/>
          <w:numId w:val="3"/>
        </w:numPr>
        <w:ind w:firstLineChars="0"/>
        <w:rPr>
          <w:lang w:val="zh-CN" w:bidi="zh-CN"/>
        </w:rPr>
      </w:pPr>
      <w:r>
        <w:rPr>
          <w:lang w:val="zh-CN" w:bidi="zh-CN"/>
        </w:rPr>
        <w:t>操作系统</w:t>
      </w:r>
    </w:p>
    <w:p>
      <w:pPr>
        <w:autoSpaceDE w:val="0"/>
        <w:autoSpaceDN w:val="0"/>
        <w:spacing w:line="480" w:lineRule="exact"/>
        <w:ind w:firstLine="480"/>
        <w:jc w:val="left"/>
        <w:rPr>
          <w:rFonts w:ascii="宋体" w:hAnsi="宋体" w:cs="宋体"/>
          <w:kern w:val="0"/>
          <w:lang w:val="zh-CN" w:bidi="zh-CN"/>
        </w:rPr>
      </w:pPr>
      <w:r>
        <w:rPr>
          <w:rFonts w:ascii="宋体" w:hAnsi="宋体" w:cs="宋体"/>
          <w:kern w:val="0"/>
          <w:lang w:val="zh-CN" w:bidi="zh-CN"/>
        </w:rPr>
        <w:t>运行信息系统的数据库、中间层等需支持主流操作系统，以64位操作系统为主，支持在独立主机和虚拟化主机上的部署，包括如下：Windows</w:t>
      </w:r>
      <w:r>
        <w:rPr>
          <w:rFonts w:hint="eastAsia" w:ascii="宋体" w:hAnsi="宋体" w:cs="宋体"/>
          <w:kern w:val="0"/>
          <w:lang w:val="zh-CN" w:bidi="zh-CN"/>
        </w:rPr>
        <w:t xml:space="preserve"> </w:t>
      </w:r>
      <w:r>
        <w:rPr>
          <w:rFonts w:ascii="宋体" w:hAnsi="宋体" w:cs="宋体"/>
          <w:kern w:val="0"/>
          <w:lang w:val="zh-CN" w:bidi="zh-CN"/>
        </w:rPr>
        <w:t>Server2008R2（x86和x64）。</w:t>
      </w:r>
    </w:p>
    <w:p>
      <w:pPr>
        <w:pStyle w:val="3"/>
        <w:numPr>
          <w:ilvl w:val="0"/>
          <w:numId w:val="3"/>
        </w:numPr>
        <w:ind w:firstLineChars="0"/>
        <w:rPr>
          <w:lang w:val="zh-CN" w:bidi="zh-CN"/>
        </w:rPr>
      </w:pPr>
      <w:r>
        <w:rPr>
          <w:lang w:val="zh-CN" w:bidi="zh-CN"/>
        </w:rPr>
        <w:t>数据库平台</w:t>
      </w:r>
    </w:p>
    <w:p>
      <w:pPr>
        <w:autoSpaceDE w:val="0"/>
        <w:autoSpaceDN w:val="0"/>
        <w:spacing w:line="480" w:lineRule="exact"/>
        <w:ind w:firstLine="480"/>
        <w:jc w:val="left"/>
        <w:rPr>
          <w:rFonts w:cs="宋体" w:asciiTheme="minorEastAsia" w:hAnsiTheme="minorEastAsia" w:eastAsiaTheme="minorEastAsia"/>
          <w:kern w:val="0"/>
          <w:lang w:val="zh-CN" w:bidi="zh-CN"/>
        </w:rPr>
      </w:pPr>
      <w:r>
        <w:rPr>
          <w:rFonts w:hint="eastAsia" w:asciiTheme="minorEastAsia" w:hAnsiTheme="minorEastAsia" w:eastAsiaTheme="minorEastAsia"/>
          <w:lang w:bidi="ar"/>
        </w:rPr>
        <w:t>采用Oracle、MySQL、SqlServer等大型关系型数据库</w:t>
      </w:r>
      <w:r>
        <w:rPr>
          <w:rFonts w:cs="宋体" w:asciiTheme="minorEastAsia" w:hAnsiTheme="minorEastAsia" w:eastAsiaTheme="minorEastAsia"/>
          <w:kern w:val="0"/>
          <w:lang w:val="zh-CN" w:bidi="zh-CN"/>
        </w:rPr>
        <w:t>。</w:t>
      </w:r>
    </w:p>
    <w:p>
      <w:pPr>
        <w:pStyle w:val="3"/>
        <w:numPr>
          <w:ilvl w:val="0"/>
          <w:numId w:val="3"/>
        </w:numPr>
        <w:ind w:firstLineChars="0"/>
        <w:rPr>
          <w:lang w:val="zh-CN" w:bidi="zh-CN"/>
        </w:rPr>
      </w:pPr>
      <w:r>
        <w:rPr>
          <w:rFonts w:hint="eastAsia"/>
          <w:lang w:val="zh-CN" w:bidi="zh-CN"/>
        </w:rPr>
        <w:t>系统安全防护能力</w:t>
      </w:r>
    </w:p>
    <w:p>
      <w:pPr>
        <w:autoSpaceDE w:val="0"/>
        <w:autoSpaceDN w:val="0"/>
        <w:spacing w:line="480" w:lineRule="exact"/>
        <w:ind w:firstLine="480"/>
        <w:jc w:val="left"/>
        <w:rPr>
          <w:rFonts w:ascii="宋体" w:hAnsi="宋体" w:cs="宋体"/>
          <w:kern w:val="0"/>
          <w:lang w:val="zh-CN" w:bidi="zh-CN"/>
        </w:rPr>
      </w:pPr>
      <w:r>
        <w:rPr>
          <w:rFonts w:ascii="宋体" w:hAnsi="宋体" w:cs="宋体"/>
          <w:kern w:val="0"/>
          <w:lang w:val="zh-CN" w:bidi="zh-CN"/>
        </w:rPr>
        <w:t>系统具有抵御外界环境和人为操作失误的能力。有足够的防护措施，防止非法用户侵入，防止超越权限、误操作和恶意攻击等非法操作。系统需提供数据安全保障措施，防止医院的数据外泄。具有操作日志记录功能，记录系统中各人员操作记录。</w:t>
      </w:r>
    </w:p>
    <w:p>
      <w:pPr>
        <w:pStyle w:val="3"/>
        <w:numPr>
          <w:ilvl w:val="0"/>
          <w:numId w:val="3"/>
        </w:numPr>
        <w:ind w:firstLineChars="0"/>
        <w:rPr>
          <w:lang w:val="zh-CN" w:bidi="zh-CN"/>
        </w:rPr>
      </w:pPr>
      <w:r>
        <w:rPr>
          <w:rFonts w:hint="eastAsia"/>
          <w:lang w:bidi="zh-CN"/>
        </w:rPr>
        <w:t>编码标准</w:t>
      </w:r>
      <w:r>
        <w:rPr>
          <w:rFonts w:hint="eastAsia"/>
          <w:lang w:val="zh-CN" w:bidi="zh-CN"/>
        </w:rPr>
        <w:t>版本要求</w:t>
      </w:r>
    </w:p>
    <w:p>
      <w:pPr>
        <w:autoSpaceDE w:val="0"/>
        <w:autoSpaceDN w:val="0"/>
        <w:spacing w:line="480" w:lineRule="exact"/>
        <w:ind w:firstLine="480"/>
        <w:jc w:val="left"/>
        <w:rPr>
          <w:rFonts w:ascii="宋体" w:hAnsi="宋体" w:cs="宋体"/>
          <w:kern w:val="0"/>
          <w:lang w:val="zh-CN" w:bidi="zh-CN"/>
        </w:rPr>
      </w:pPr>
      <w:r>
        <w:rPr>
          <w:rFonts w:ascii="宋体" w:hAnsi="宋体" w:cs="宋体"/>
          <w:kern w:val="0"/>
          <w:lang w:val="zh-CN" w:bidi="zh-CN"/>
        </w:rPr>
        <w:t>系统中不同模块协作时需要使用统一的</w:t>
      </w:r>
      <w:r>
        <w:rPr>
          <w:rFonts w:hint="eastAsia" w:ascii="宋体" w:hAnsi="宋体" w:cs="宋体"/>
          <w:kern w:val="0"/>
          <w:lang w:bidi="zh-CN"/>
        </w:rPr>
        <w:t>编码</w:t>
      </w:r>
      <w:r>
        <w:rPr>
          <w:rFonts w:ascii="宋体" w:hAnsi="宋体" w:cs="宋体"/>
          <w:kern w:val="0"/>
          <w:lang w:val="zh-CN" w:bidi="zh-CN"/>
        </w:rPr>
        <w:t>标准，即《疾病和有关健康问题的国际统计分类》（</w:t>
      </w:r>
      <w:r>
        <w:rPr>
          <w:rFonts w:hint="eastAsia" w:ascii="宋体" w:hAnsi="宋体" w:cs="宋体"/>
          <w:kern w:val="0"/>
          <w:lang w:bidi="zh-CN"/>
        </w:rPr>
        <w:t>国家临床版2.0，</w:t>
      </w:r>
      <w:r>
        <w:rPr>
          <w:rFonts w:ascii="宋体" w:hAnsi="宋体" w:cs="宋体"/>
          <w:kern w:val="0"/>
          <w:lang w:val="zh-CN" w:bidi="zh-CN"/>
        </w:rPr>
        <w:t>以下简称ICD-10）、《国际疾病分类手术与操作》（</w:t>
      </w:r>
      <w:r>
        <w:rPr>
          <w:rFonts w:hint="eastAsia" w:ascii="宋体" w:hAnsi="宋体" w:cs="宋体"/>
          <w:kern w:val="0"/>
          <w:lang w:bidi="zh-CN"/>
        </w:rPr>
        <w:t>国家临床版3.0，</w:t>
      </w:r>
      <w:r>
        <w:rPr>
          <w:rFonts w:ascii="宋体" w:hAnsi="宋体" w:cs="宋体"/>
          <w:kern w:val="0"/>
          <w:lang w:val="zh-CN" w:bidi="zh-CN"/>
        </w:rPr>
        <w:t>以下简称ICD-9-</w:t>
      </w:r>
      <w:r>
        <w:rPr>
          <w:rFonts w:hint="eastAsia" w:ascii="宋体" w:hAnsi="宋体" w:cs="宋体"/>
          <w:kern w:val="0"/>
          <w:lang w:val="zh-CN" w:bidi="zh-CN"/>
        </w:rPr>
        <w:t>CM-3</w:t>
      </w:r>
      <w:r>
        <w:rPr>
          <w:rFonts w:ascii="宋体" w:hAnsi="宋体" w:cs="宋体"/>
          <w:kern w:val="0"/>
          <w:lang w:val="zh-CN" w:bidi="zh-CN"/>
        </w:rPr>
        <w:t>）</w:t>
      </w:r>
      <w:r>
        <w:rPr>
          <w:rFonts w:hint="eastAsia" w:ascii="宋体" w:hAnsi="宋体" w:cs="宋体"/>
          <w:kern w:val="0"/>
          <w:lang w:val="zh-CN" w:bidi="zh-CN"/>
        </w:rPr>
        <w:t>，</w:t>
      </w:r>
      <w:r>
        <w:rPr>
          <w:rFonts w:hint="eastAsia" w:hAnsi="宋体" w:cs="宋体"/>
          <w:bCs/>
        </w:rPr>
        <w:t>以保证病案首页编码后诊断与手术操作代码可以满足国家卫健委绩效考核要求</w:t>
      </w:r>
      <w:r>
        <w:rPr>
          <w:rFonts w:ascii="宋体" w:hAnsi="宋体" w:cs="宋体"/>
          <w:kern w:val="0"/>
          <w:lang w:val="zh-CN" w:bidi="zh-CN"/>
        </w:rPr>
        <w:t>。</w:t>
      </w:r>
    </w:p>
    <w:p>
      <w:pPr>
        <w:autoSpaceDE w:val="0"/>
        <w:autoSpaceDN w:val="0"/>
        <w:spacing w:line="480" w:lineRule="exact"/>
        <w:ind w:firstLine="480"/>
        <w:jc w:val="left"/>
        <w:rPr>
          <w:rFonts w:ascii="宋体" w:hAnsi="宋体" w:cs="宋体"/>
          <w:kern w:val="0"/>
          <w:lang w:val="zh-CN" w:bidi="zh-CN"/>
        </w:rPr>
      </w:pPr>
      <w:r>
        <w:rPr>
          <w:rFonts w:hint="eastAsia" w:hAnsi="宋体" w:cs="宋体"/>
          <w:bCs/>
        </w:rPr>
        <w:t>系统需内置疾病分类代码医保版2.0和手术操作分类代码医保版2.0，满足医保结算清单质控审核需求，保证医保结算清单编码后诊断与手术操作代码符合DIP入组规范，满足赣州市DIP付费要求。</w:t>
      </w:r>
    </w:p>
    <w:p>
      <w:pPr>
        <w:pStyle w:val="4"/>
        <w:numPr>
          <w:ilvl w:val="0"/>
          <w:numId w:val="2"/>
        </w:numPr>
        <w:ind w:left="660" w:leftChars="100" w:hanging="420"/>
        <w:rPr>
          <w:sz w:val="30"/>
          <w:szCs w:val="30"/>
          <w:lang w:val="zh-CN"/>
        </w:rPr>
      </w:pPr>
      <w:r>
        <w:rPr>
          <w:rFonts w:hint="eastAsia"/>
          <w:sz w:val="30"/>
          <w:szCs w:val="30"/>
          <w:lang w:val="zh-CN"/>
        </w:rPr>
        <w:t>关键技术要求</w:t>
      </w:r>
    </w:p>
    <w:p>
      <w:pPr>
        <w:pStyle w:val="3"/>
        <w:numPr>
          <w:ilvl w:val="0"/>
          <w:numId w:val="4"/>
        </w:numPr>
        <w:ind w:firstLineChars="0"/>
        <w:rPr>
          <w:lang w:val="zh-CN" w:bidi="zh-CN"/>
        </w:rPr>
      </w:pPr>
      <w:r>
        <w:rPr>
          <w:lang w:val="zh-CN" w:bidi="zh-CN"/>
        </w:rPr>
        <w:t>系统对接</w:t>
      </w:r>
    </w:p>
    <w:p>
      <w:pPr>
        <w:autoSpaceDE w:val="0"/>
        <w:autoSpaceDN w:val="0"/>
        <w:spacing w:line="480" w:lineRule="exact"/>
        <w:ind w:firstLine="480"/>
        <w:jc w:val="left"/>
        <w:rPr>
          <w:rFonts w:ascii="宋体" w:hAnsi="宋体" w:cs="宋体"/>
          <w:kern w:val="0"/>
          <w:lang w:val="zh-CN" w:bidi="zh-CN"/>
        </w:rPr>
      </w:pPr>
      <w:r>
        <w:rPr>
          <w:rFonts w:hint="eastAsia" w:ascii="宋体" w:hAnsi="宋体" w:cs="宋体"/>
          <w:kern w:val="0"/>
          <w:lang w:val="zh-CN" w:bidi="zh-CN"/>
        </w:rPr>
        <w:t>目前医院的各业务系统均在医院的局域网络结构中运行，该系统的建设要能够与医院现有集成平台、</w:t>
      </w:r>
      <w:r>
        <w:rPr>
          <w:rFonts w:ascii="宋体" w:hAnsi="宋体" w:cs="宋体"/>
          <w:kern w:val="0"/>
          <w:lang w:val="zh-CN" w:bidi="zh-CN"/>
        </w:rPr>
        <w:t>EMR、HIS、PACS、LIS、手麻系统、病理系统在现有网络中无缝对接。对接方式应支持WebService、视图或HTTP接口。在系统的建设过程中及建成后均不可对其他系统造成影响。</w:t>
      </w:r>
    </w:p>
    <w:p>
      <w:pPr>
        <w:pStyle w:val="3"/>
        <w:numPr>
          <w:ilvl w:val="0"/>
          <w:numId w:val="4"/>
        </w:numPr>
        <w:ind w:firstLineChars="0"/>
        <w:rPr>
          <w:lang w:val="zh-CN" w:bidi="zh-CN"/>
        </w:rPr>
      </w:pPr>
      <w:r>
        <w:rPr>
          <w:lang w:val="zh-CN" w:bidi="zh-CN"/>
        </w:rPr>
        <w:t>上传规则</w:t>
      </w:r>
    </w:p>
    <w:p>
      <w:pPr>
        <w:autoSpaceDE w:val="0"/>
        <w:autoSpaceDN w:val="0"/>
        <w:spacing w:line="480" w:lineRule="exact"/>
        <w:ind w:firstLine="480"/>
        <w:jc w:val="left"/>
        <w:rPr>
          <w:rFonts w:ascii="宋体" w:hAnsi="宋体" w:cs="宋体"/>
          <w:kern w:val="0"/>
          <w:lang w:val="zh-CN" w:bidi="zh-CN"/>
        </w:rPr>
      </w:pPr>
      <w:r>
        <w:rPr>
          <w:rFonts w:hint="eastAsia" w:ascii="宋体" w:hAnsi="宋体" w:cs="宋体"/>
          <w:kern w:val="0"/>
          <w:lang w:val="zh-CN" w:bidi="zh-CN"/>
        </w:rPr>
        <w:t>编码后的病案要符合国际编码规则、真实反映患者的实际病情且能按</w:t>
      </w:r>
      <w:r>
        <w:rPr>
          <w:rFonts w:hint="eastAsia" w:ascii="宋体" w:hAnsi="宋体" w:cs="宋体"/>
          <w:kern w:val="0"/>
          <w:lang w:bidi="zh-CN"/>
        </w:rPr>
        <w:t>赣州</w:t>
      </w:r>
      <w:r>
        <w:rPr>
          <w:rFonts w:hint="eastAsia" w:ascii="宋体" w:hAnsi="宋体" w:cs="宋体"/>
          <w:kern w:val="0"/>
          <w:lang w:val="zh-CN" w:bidi="zh-CN"/>
        </w:rPr>
        <w:t>市医保局制定的交易规则上传病历，编码后的病案需符合</w:t>
      </w:r>
      <w:r>
        <w:rPr>
          <w:rFonts w:hint="eastAsia" w:ascii="宋体" w:hAnsi="宋体" w:cs="宋体"/>
          <w:kern w:val="0"/>
          <w:lang w:bidi="zh-CN"/>
        </w:rPr>
        <w:t>赣州</w:t>
      </w:r>
      <w:r>
        <w:rPr>
          <w:rFonts w:hint="eastAsia" w:ascii="宋体" w:hAnsi="宋体" w:cs="宋体"/>
          <w:kern w:val="0"/>
          <w:lang w:val="zh-CN" w:bidi="zh-CN"/>
        </w:rPr>
        <w:t>市病种分值的基本要求，</w:t>
      </w:r>
      <w:r>
        <w:rPr>
          <w:rFonts w:ascii="宋体" w:hAnsi="宋体" w:cs="宋体"/>
          <w:kern w:val="0"/>
          <w:lang w:val="zh-CN" w:bidi="zh-CN"/>
        </w:rPr>
        <w:t>保证编码后的病案正常上传。</w:t>
      </w:r>
    </w:p>
    <w:p>
      <w:pPr>
        <w:pStyle w:val="3"/>
        <w:numPr>
          <w:ilvl w:val="0"/>
          <w:numId w:val="4"/>
        </w:numPr>
        <w:ind w:firstLineChars="0"/>
        <w:rPr>
          <w:lang w:val="zh-CN" w:bidi="zh-CN"/>
        </w:rPr>
      </w:pPr>
      <w:r>
        <w:rPr>
          <w:lang w:val="zh-CN" w:bidi="zh-CN"/>
        </w:rPr>
        <w:t>任务分配</w:t>
      </w:r>
    </w:p>
    <w:p>
      <w:pPr>
        <w:autoSpaceDE w:val="0"/>
        <w:autoSpaceDN w:val="0"/>
        <w:spacing w:line="480" w:lineRule="exact"/>
        <w:ind w:firstLine="480"/>
        <w:jc w:val="left"/>
        <w:rPr>
          <w:rFonts w:ascii="宋体" w:hAnsi="宋体" w:cs="宋体"/>
          <w:kern w:val="0"/>
          <w:lang w:val="zh-CN" w:bidi="zh-CN"/>
        </w:rPr>
      </w:pPr>
      <w:r>
        <w:rPr>
          <w:rFonts w:hint="eastAsia" w:ascii="宋体" w:hAnsi="宋体" w:cs="宋体"/>
          <w:kern w:val="0"/>
          <w:lang w:val="zh-CN" w:bidi="zh-CN"/>
        </w:rPr>
        <w:t>系统需根据工作需要，将不同科室的病案分配给不同编码员进行编码，并能分别管理。同时需支持“病案随机分配”功能。</w:t>
      </w:r>
    </w:p>
    <w:p>
      <w:pPr>
        <w:pStyle w:val="3"/>
        <w:numPr>
          <w:ilvl w:val="0"/>
          <w:numId w:val="4"/>
        </w:numPr>
        <w:ind w:firstLineChars="0"/>
        <w:rPr>
          <w:lang w:val="zh-CN" w:bidi="zh-CN"/>
        </w:rPr>
      </w:pPr>
      <w:r>
        <w:rPr>
          <w:lang w:val="zh-CN" w:bidi="zh-CN"/>
        </w:rPr>
        <w:t>数据要求</w:t>
      </w:r>
    </w:p>
    <w:p>
      <w:pPr>
        <w:autoSpaceDE w:val="0"/>
        <w:autoSpaceDN w:val="0"/>
        <w:spacing w:line="480" w:lineRule="exact"/>
        <w:ind w:firstLine="480"/>
        <w:jc w:val="left"/>
        <w:rPr>
          <w:rFonts w:ascii="宋体" w:hAnsi="宋体" w:cs="宋体"/>
          <w:kern w:val="0"/>
          <w:lang w:val="zh-CN" w:bidi="zh-CN"/>
        </w:rPr>
      </w:pPr>
      <w:r>
        <w:rPr>
          <w:rFonts w:hint="eastAsia" w:ascii="宋体" w:hAnsi="宋体" w:cs="宋体"/>
          <w:kern w:val="0"/>
          <w:lang w:val="zh-CN" w:bidi="zh-CN"/>
        </w:rPr>
        <w:t>编码界面的所有信息均为映射复制内容，对原有业务系统的数据不得有修改。即该系统的技术框架只能对归档后的电子病历进行编码，不接受未归档的电子病历。经编码员编码后的病历，</w:t>
      </w:r>
      <w:r>
        <w:rPr>
          <w:rFonts w:hint="eastAsia"/>
        </w:rPr>
        <w:t>需按医保结算清单填写规范上传至省医保平台。</w:t>
      </w:r>
    </w:p>
    <w:p>
      <w:pPr>
        <w:pStyle w:val="4"/>
        <w:numPr>
          <w:ilvl w:val="0"/>
          <w:numId w:val="2"/>
        </w:numPr>
        <w:ind w:left="420" w:hanging="420"/>
        <w:rPr>
          <w:sz w:val="30"/>
          <w:szCs w:val="30"/>
        </w:rPr>
      </w:pPr>
      <w:r>
        <w:rPr>
          <w:rFonts w:hint="eastAsia"/>
          <w:sz w:val="30"/>
          <w:szCs w:val="30"/>
        </w:rPr>
        <w:t>系统功能要求</w:t>
      </w:r>
    </w:p>
    <w:p>
      <w:pPr>
        <w:pStyle w:val="3"/>
        <w:numPr>
          <w:ilvl w:val="0"/>
          <w:numId w:val="5"/>
        </w:numPr>
        <w:ind w:firstLineChars="0"/>
        <w:rPr>
          <w:lang w:val="zh-CN" w:bidi="zh-CN"/>
        </w:rPr>
      </w:pPr>
      <w:r>
        <w:rPr>
          <w:rFonts w:hint="eastAsia"/>
          <w:lang w:val="zh-CN" w:bidi="zh-CN"/>
        </w:rPr>
        <w:t>病案编码管理系统基础功能要求</w:t>
      </w:r>
    </w:p>
    <w:p>
      <w:pPr>
        <w:pStyle w:val="9"/>
        <w:snapToGrid w:val="0"/>
        <w:ind w:firstLine="480"/>
        <w:rPr>
          <w:rFonts w:hAnsi="宋体"/>
          <w:bCs/>
        </w:rPr>
      </w:pPr>
      <w:r>
        <w:rPr>
          <w:rFonts w:hint="eastAsia" w:hAnsi="宋体"/>
          <w:bCs/>
        </w:rPr>
        <w:t>病案编码管理系统用于病案科人员编码使用，要求该系统需集合国际病案编码规则、国际疾病分类、区域病案质量要求等内容，融合形成病案质量综合校验体系。对接医院HIS、EMR、检查检验相关系统，融合所有编码所需数据形成统一的病案编码平台。同步实现对临床的运行病历和归档后的末端病历全面校验质控，智能辅助精准编码。需配置丰富的病案数据上传模块，要求能实现一次编码，多次上传。功能要求如下：</w:t>
      </w:r>
    </w:p>
    <w:p>
      <w:pPr>
        <w:pStyle w:val="5"/>
        <w:numPr>
          <w:ilvl w:val="0"/>
          <w:numId w:val="6"/>
        </w:numPr>
        <w:ind w:firstLineChars="0"/>
      </w:pPr>
      <w:r>
        <w:rPr>
          <w:rFonts w:hint="eastAsia"/>
        </w:rPr>
        <w:t>病案点评</w:t>
      </w:r>
    </w:p>
    <w:p>
      <w:pPr>
        <w:pStyle w:val="9"/>
        <w:snapToGrid w:val="0"/>
        <w:ind w:firstLine="480"/>
        <w:rPr>
          <w:rFonts w:hAnsi="宋体"/>
          <w:bCs/>
        </w:rPr>
      </w:pPr>
      <w:r>
        <w:rPr>
          <w:rFonts w:hint="eastAsia" w:hAnsi="宋体"/>
          <w:bCs/>
        </w:rPr>
        <w:t>支持按赣州市医保局以及医院的具体要求设置病案首页质量标准，对病案首页整体进行校验点评；支持对病历中具体的错误点提示，提示错误点、错误原因、调整方向。</w:t>
      </w:r>
    </w:p>
    <w:p>
      <w:pPr>
        <w:pStyle w:val="5"/>
        <w:numPr>
          <w:ilvl w:val="0"/>
          <w:numId w:val="6"/>
        </w:numPr>
        <w:ind w:firstLineChars="0"/>
      </w:pPr>
      <w:r>
        <w:rPr>
          <w:rFonts w:hint="eastAsia"/>
        </w:rPr>
        <w:t>基本信息校验</w:t>
      </w:r>
    </w:p>
    <w:p>
      <w:pPr>
        <w:pStyle w:val="9"/>
        <w:snapToGrid w:val="0"/>
        <w:ind w:firstLine="480"/>
        <w:rPr>
          <w:rFonts w:hAnsi="宋体"/>
          <w:bCs/>
        </w:rPr>
      </w:pPr>
      <w:r>
        <w:rPr>
          <w:rFonts w:hint="eastAsia" w:hAnsi="宋体"/>
          <w:bCs/>
        </w:rPr>
        <w:t>支持病案首页中基本信息的自动校验功能；自动校验内容包括年龄、性别、新生儿月龄、转科信息、入院时间、出院时间、入院途径、住院天数；支持对错误信息进行提示；支持基本信息“一键订正”。</w:t>
      </w:r>
    </w:p>
    <w:p>
      <w:pPr>
        <w:pStyle w:val="5"/>
        <w:numPr>
          <w:ilvl w:val="0"/>
          <w:numId w:val="6"/>
        </w:numPr>
        <w:ind w:firstLineChars="0"/>
      </w:pPr>
      <w:r>
        <w:rPr>
          <w:rFonts w:hint="eastAsia"/>
        </w:rPr>
        <w:t>附加信息校验</w:t>
      </w:r>
    </w:p>
    <w:p>
      <w:pPr>
        <w:pStyle w:val="9"/>
        <w:snapToGrid w:val="0"/>
        <w:ind w:firstLine="480"/>
        <w:rPr>
          <w:rFonts w:hAnsi="宋体"/>
          <w:bCs/>
        </w:rPr>
      </w:pPr>
      <w:r>
        <w:rPr>
          <w:rFonts w:hint="eastAsia" w:hAnsi="宋体"/>
          <w:bCs/>
        </w:rPr>
        <w:t>支持校验入出监护室时间、呼吸机使用时间功能；系统提供正确的信息提示节省编码员手工计算的时间；支持附加信息“一键订正”以保证正确填报附加信息。</w:t>
      </w:r>
    </w:p>
    <w:p>
      <w:pPr>
        <w:pStyle w:val="5"/>
        <w:numPr>
          <w:ilvl w:val="0"/>
          <w:numId w:val="6"/>
        </w:numPr>
        <w:ind w:firstLineChars="0"/>
      </w:pPr>
      <w:r>
        <w:rPr>
          <w:rFonts w:hint="eastAsia"/>
        </w:rPr>
        <w:t>实时校验</w:t>
      </w:r>
    </w:p>
    <w:p>
      <w:pPr>
        <w:pStyle w:val="9"/>
        <w:snapToGrid w:val="0"/>
        <w:ind w:firstLine="480"/>
        <w:rPr>
          <w:rFonts w:hAnsi="宋体"/>
          <w:bCs/>
        </w:rPr>
      </w:pPr>
      <w:r>
        <w:rPr>
          <w:rFonts w:hint="eastAsia" w:hAnsi="宋体"/>
          <w:bCs/>
        </w:rPr>
        <w:t>支持编码实时校验；支持编码员更正一部分病历信息，系统重新校验并提示。</w:t>
      </w:r>
    </w:p>
    <w:p>
      <w:pPr>
        <w:pStyle w:val="5"/>
        <w:numPr>
          <w:ilvl w:val="0"/>
          <w:numId w:val="6"/>
        </w:numPr>
        <w:ind w:firstLineChars="0"/>
      </w:pPr>
      <w:r>
        <w:rPr>
          <w:rFonts w:hint="eastAsia"/>
        </w:rPr>
        <w:t>病案关联性校验</w:t>
      </w:r>
    </w:p>
    <w:p>
      <w:pPr>
        <w:pStyle w:val="9"/>
        <w:snapToGrid w:val="0"/>
        <w:ind w:firstLine="480"/>
        <w:rPr>
          <w:rFonts w:hAnsi="宋体"/>
          <w:bCs/>
        </w:rPr>
      </w:pPr>
      <w:r>
        <w:rPr>
          <w:rFonts w:hint="eastAsia" w:hAnsi="宋体"/>
          <w:bCs/>
        </w:rPr>
        <w:t>支持病案关联性校验，即诊断编码与患者个体信息关联校验；如：可根据患者年龄、性别、损伤中毒情况、病理形态学信息校验诊断使用规范性，系统需校验出关联性问题并提醒编码员。</w:t>
      </w:r>
    </w:p>
    <w:p>
      <w:pPr>
        <w:pStyle w:val="5"/>
        <w:numPr>
          <w:ilvl w:val="0"/>
          <w:numId w:val="6"/>
        </w:numPr>
        <w:ind w:firstLineChars="0"/>
      </w:pPr>
      <w:r>
        <w:rPr>
          <w:rFonts w:hint="eastAsia"/>
        </w:rPr>
        <w:t>样本病历</w:t>
      </w:r>
    </w:p>
    <w:p>
      <w:pPr>
        <w:pStyle w:val="9"/>
        <w:snapToGrid w:val="0"/>
        <w:ind w:firstLine="480"/>
        <w:rPr>
          <w:rFonts w:hAnsi="宋体"/>
          <w:bCs/>
        </w:rPr>
      </w:pPr>
      <w:r>
        <w:rPr>
          <w:rFonts w:hint="eastAsia" w:hAnsi="宋体"/>
          <w:bCs/>
        </w:rPr>
        <w:t>支持样本病历点评；支持样本病历查看和教学。</w:t>
      </w:r>
    </w:p>
    <w:p>
      <w:pPr>
        <w:pStyle w:val="5"/>
        <w:numPr>
          <w:ilvl w:val="0"/>
          <w:numId w:val="6"/>
        </w:numPr>
        <w:ind w:firstLineChars="0"/>
      </w:pPr>
      <w:r>
        <w:rPr>
          <w:rFonts w:hint="eastAsia"/>
        </w:rPr>
        <w:t>编码留痕</w:t>
      </w:r>
    </w:p>
    <w:p>
      <w:pPr>
        <w:pStyle w:val="9"/>
        <w:snapToGrid w:val="0"/>
        <w:ind w:firstLine="480"/>
        <w:rPr>
          <w:rFonts w:hAnsi="宋体"/>
          <w:bCs/>
        </w:rPr>
      </w:pPr>
      <w:r>
        <w:rPr>
          <w:rFonts w:hint="eastAsia" w:hAnsi="宋体"/>
          <w:bCs/>
        </w:rPr>
        <w:t>支持记录病案编码的修改痕迹。</w:t>
      </w:r>
    </w:p>
    <w:p>
      <w:pPr>
        <w:pStyle w:val="5"/>
        <w:numPr>
          <w:ilvl w:val="0"/>
          <w:numId w:val="6"/>
        </w:numPr>
        <w:ind w:firstLineChars="0"/>
      </w:pPr>
      <w:r>
        <w:rPr>
          <w:rFonts w:hint="eastAsia"/>
        </w:rPr>
        <w:t>全费别编码及上传</w:t>
      </w:r>
    </w:p>
    <w:p>
      <w:pPr>
        <w:pStyle w:val="9"/>
        <w:snapToGrid w:val="0"/>
        <w:ind w:firstLine="480"/>
        <w:rPr>
          <w:rFonts w:hAnsi="宋体"/>
          <w:bCs/>
        </w:rPr>
      </w:pPr>
      <w:r>
        <w:rPr>
          <w:rFonts w:hint="eastAsia" w:hAnsi="宋体"/>
          <w:bCs/>
        </w:rPr>
        <w:t>支持对全费别患者的病历进行编码和上传功能。</w:t>
      </w:r>
    </w:p>
    <w:p>
      <w:pPr>
        <w:pStyle w:val="5"/>
        <w:numPr>
          <w:ilvl w:val="0"/>
          <w:numId w:val="6"/>
        </w:numPr>
        <w:ind w:firstLineChars="0"/>
      </w:pPr>
      <w:r>
        <w:rPr>
          <w:rFonts w:hint="eastAsia"/>
        </w:rPr>
        <w:t>编码后上传</w:t>
      </w:r>
    </w:p>
    <w:p>
      <w:pPr>
        <w:pStyle w:val="9"/>
        <w:snapToGrid w:val="0"/>
        <w:ind w:firstLine="480"/>
        <w:rPr>
          <w:rFonts w:hAnsi="宋体"/>
          <w:bCs/>
        </w:rPr>
      </w:pPr>
      <w:r>
        <w:rPr>
          <w:rFonts w:hint="eastAsia" w:hAnsi="宋体"/>
          <w:bCs/>
        </w:rPr>
        <w:t>支持编码后单个病历即时上传；支持编码后保存待上传；支持批量上传；需支持根据赣州市医保局的交易规则进行调整或交易规则完全改变，调整系统的技术框架，满足医院需求。</w:t>
      </w:r>
    </w:p>
    <w:p>
      <w:pPr>
        <w:pStyle w:val="5"/>
        <w:numPr>
          <w:ilvl w:val="0"/>
          <w:numId w:val="6"/>
        </w:numPr>
        <w:ind w:firstLineChars="0"/>
      </w:pPr>
      <w:r>
        <w:rPr>
          <w:rFonts w:hint="eastAsia"/>
        </w:rPr>
        <w:t>统计分析模块</w:t>
      </w:r>
    </w:p>
    <w:p>
      <w:pPr>
        <w:pStyle w:val="9"/>
        <w:snapToGrid w:val="0"/>
        <w:ind w:firstLine="480"/>
        <w:rPr>
          <w:rFonts w:hAnsi="宋体"/>
          <w:bCs/>
        </w:rPr>
      </w:pPr>
      <w:r>
        <w:rPr>
          <w:rFonts w:hint="eastAsia" w:hAnsi="宋体"/>
          <w:bCs/>
        </w:rPr>
        <w:t>统计分析模块需提供在病案提取、生成数据、病案编码过程中发现的问题进行归纳、分类、分析，并将结果在管理端呈现。具体功能要求包括：提供编码工作统计；提供医保返回错误分析；提供主要诊断修改分析；提供其他诊断修改分析；提供主要手术修改分析；提供其他手术修改分析；提供损伤中毒修改分析；提供病理诊断修改分析；提供基本信息修改分析；提供逾期数据统计分析；提供重点诊断监察统计；提供重点手术监察统计。</w:t>
      </w:r>
    </w:p>
    <w:p>
      <w:pPr>
        <w:pStyle w:val="5"/>
        <w:numPr>
          <w:ilvl w:val="0"/>
          <w:numId w:val="6"/>
        </w:numPr>
        <w:ind w:firstLineChars="0"/>
      </w:pPr>
      <w:r>
        <w:rPr>
          <w:rFonts w:hint="eastAsia"/>
        </w:rPr>
        <w:t>病案追踪模块</w:t>
      </w:r>
    </w:p>
    <w:p>
      <w:pPr>
        <w:pStyle w:val="9"/>
        <w:snapToGrid w:val="0"/>
        <w:ind w:firstLine="480"/>
        <w:rPr>
          <w:rFonts w:hAnsi="宋体"/>
          <w:bCs/>
        </w:rPr>
      </w:pPr>
      <w:r>
        <w:rPr>
          <w:rFonts w:hint="eastAsia" w:hAnsi="宋体"/>
          <w:bCs/>
        </w:rPr>
        <w:t>病案追踪模块需有病案闭环追溯功能，支持对病案各个节点追踪查询。支持对病案编码前病历的节点查询，节点包括病历提醒、病历预警、病历逾期、黑名单、未编码；支持对正在编码的病历进行编码锁定，以防止重复编码；支持对病案编码后病历的入组情况进行统计。</w:t>
      </w:r>
    </w:p>
    <w:p>
      <w:pPr>
        <w:pStyle w:val="5"/>
        <w:numPr>
          <w:ilvl w:val="0"/>
          <w:numId w:val="6"/>
        </w:numPr>
        <w:ind w:firstLineChars="0"/>
      </w:pPr>
      <w:r>
        <w:rPr>
          <w:rFonts w:hint="eastAsia"/>
        </w:rPr>
        <w:t>病案质控管理</w:t>
      </w:r>
    </w:p>
    <w:p>
      <w:pPr>
        <w:pStyle w:val="9"/>
        <w:snapToGrid w:val="0"/>
        <w:ind w:firstLine="480"/>
        <w:rPr>
          <w:rFonts w:hAnsi="宋体"/>
          <w:bCs/>
        </w:rPr>
      </w:pPr>
      <w:r>
        <w:rPr>
          <w:rFonts w:hint="eastAsia" w:hAnsi="宋体"/>
          <w:bCs/>
        </w:rPr>
        <w:t>病案质控管理需提供编码员编码工作质量核查功能，支持编码管理者及时监控编码质量、及时发现问题并干预，减少上传的病案首页质量问题。支持编码质控核查；支持医保交互核查；支持医疗质控核查。</w:t>
      </w:r>
    </w:p>
    <w:p>
      <w:pPr>
        <w:pStyle w:val="5"/>
        <w:numPr>
          <w:ilvl w:val="0"/>
          <w:numId w:val="6"/>
        </w:numPr>
        <w:ind w:firstLineChars="0"/>
      </w:pPr>
      <w:r>
        <w:rPr>
          <w:rFonts w:hint="eastAsia"/>
        </w:rPr>
        <w:t>临床病案质量校验（病案首页质控）</w:t>
      </w:r>
    </w:p>
    <w:p>
      <w:pPr>
        <w:pStyle w:val="9"/>
        <w:snapToGrid w:val="0"/>
        <w:ind w:firstLine="480"/>
        <w:rPr>
          <w:rFonts w:hAnsi="宋体"/>
          <w:bCs/>
        </w:rPr>
      </w:pPr>
      <w:r>
        <w:rPr>
          <w:rFonts w:hint="eastAsia" w:hAnsi="宋体"/>
          <w:bCs/>
        </w:rPr>
        <w:t>（1）结合病案首页填写规范要求，对病案首页基本信息校验进行质量校验，包括基本信息缺失性校验、基本信息逻辑性校验、基本信息标准性校验、错误信息反馈提示。</w:t>
      </w:r>
    </w:p>
    <w:p>
      <w:pPr>
        <w:pStyle w:val="9"/>
        <w:snapToGrid w:val="0"/>
        <w:ind w:firstLine="480"/>
        <w:rPr>
          <w:rFonts w:hAnsi="宋体"/>
          <w:bCs/>
        </w:rPr>
      </w:pPr>
      <w:r>
        <w:rPr>
          <w:rFonts w:hint="eastAsia" w:hAnsi="宋体"/>
          <w:bCs/>
        </w:rPr>
        <w:t>（2）结合疾病分类代码国家临床版2.0和手术操作分类代码国家临床版3.0，对诊断信息、手术信息进行质量校验，具体包括诊断漏填提醒、病理形态学关联校验、诊断多编提醒、诊断与治疗匹配性校验、诊断标准性校验、诊断与基本信息关联性校验；主要手术与主要诊断匹配性校验、手术操作漏填提醒、手术操作标准性校验、手术操作与基本信息匹配性校验。</w:t>
      </w:r>
    </w:p>
    <w:p>
      <w:pPr>
        <w:pStyle w:val="9"/>
        <w:snapToGrid w:val="0"/>
        <w:ind w:firstLine="480"/>
        <w:rPr>
          <w:rFonts w:hAnsi="宋体"/>
          <w:bCs/>
        </w:rPr>
      </w:pPr>
      <w:r>
        <w:rPr>
          <w:rFonts w:hint="eastAsia" w:hAnsi="宋体"/>
          <w:bCs/>
        </w:rPr>
        <w:t>（3）附加信息校验，包括附加信息缺失性校验、附加信息准确性校验。</w:t>
      </w:r>
    </w:p>
    <w:p>
      <w:pPr>
        <w:ind w:firstLine="480"/>
        <w:rPr>
          <w:rFonts w:hAnsi="Times New Roman"/>
        </w:rPr>
      </w:pPr>
      <w:r>
        <w:rPr>
          <w:rFonts w:hint="eastAsia" w:ascii="宋体" w:hAnsi="宋体"/>
          <w:bCs/>
        </w:rPr>
        <w:t>（</w:t>
      </w:r>
      <w:r>
        <w:rPr>
          <w:rFonts w:hint="eastAsia"/>
          <w:bCs/>
        </w:rPr>
        <w:t>4</w:t>
      </w:r>
      <w:r>
        <w:rPr>
          <w:rFonts w:hint="eastAsia" w:ascii="宋体" w:hAnsi="宋体"/>
          <w:bCs/>
        </w:rPr>
        <w:t>）根据《住院病案首页数据质量管理与控制指标》有关指标要求，对病案首页进行质控统计分析，实现包括病案首页填报完整率统计，数据上传率统计，主要诊断选择正确率、编码正确率统计，主要手术及手术选择正确率、编码正确率统计，校验修改信息分类查询，校验未修改信息分类查询，其他诊断填写正确率、编码正确率统计，临床病案质量评价，病案首页质量优秀率统计，首页质量反馈查询，医疗费用信息准确率统计等功能</w:t>
      </w:r>
      <w:r>
        <w:rPr>
          <w:rFonts w:hint="eastAsia" w:ascii="宋体" w:hAnsi="宋体" w:cs="宋体"/>
          <w:kern w:val="0"/>
          <w:lang w:bidi="ar"/>
        </w:rPr>
        <w:t>。</w:t>
      </w:r>
    </w:p>
    <w:p>
      <w:pPr>
        <w:pStyle w:val="5"/>
        <w:numPr>
          <w:ilvl w:val="0"/>
          <w:numId w:val="6"/>
        </w:numPr>
        <w:ind w:firstLineChars="0"/>
      </w:pPr>
      <w:r>
        <w:rPr>
          <w:rFonts w:hint="eastAsia"/>
        </w:rPr>
        <w:t>编码配置维护</w:t>
      </w:r>
    </w:p>
    <w:p>
      <w:pPr>
        <w:pStyle w:val="9"/>
        <w:snapToGrid w:val="0"/>
        <w:ind w:firstLine="480"/>
        <w:rPr>
          <w:rFonts w:hAnsi="宋体"/>
          <w:bCs/>
        </w:rPr>
      </w:pPr>
      <w:r>
        <w:rPr>
          <w:rFonts w:hint="eastAsia" w:hAnsi="宋体"/>
          <w:bCs/>
        </w:rPr>
        <w:t>编码配置维护需满足编码员权限管理、科室配置功能。支持编码员科室配置；支持编码员编码权限维护；支持编码修改控制。</w:t>
      </w:r>
    </w:p>
    <w:p>
      <w:pPr>
        <w:pStyle w:val="5"/>
        <w:numPr>
          <w:ilvl w:val="0"/>
          <w:numId w:val="6"/>
        </w:numPr>
        <w:ind w:firstLineChars="0"/>
      </w:pPr>
      <w:r>
        <w:rPr>
          <w:rFonts w:hint="eastAsia"/>
        </w:rPr>
        <w:t>系统设置维护</w:t>
      </w:r>
    </w:p>
    <w:p>
      <w:pPr>
        <w:pStyle w:val="9"/>
        <w:snapToGrid w:val="0"/>
        <w:ind w:firstLine="480"/>
        <w:rPr>
          <w:rFonts w:hAnsi="宋体"/>
          <w:bCs/>
        </w:rPr>
      </w:pPr>
      <w:r>
        <w:rPr>
          <w:rFonts w:hint="eastAsia" w:hAnsi="宋体"/>
          <w:bCs/>
        </w:rPr>
        <w:t>系统设置维护需支持账户设置、岗位管理、权限分发、密码修改功能。</w:t>
      </w:r>
    </w:p>
    <w:p>
      <w:pPr>
        <w:pStyle w:val="3"/>
        <w:numPr>
          <w:ilvl w:val="0"/>
          <w:numId w:val="5"/>
        </w:numPr>
        <w:ind w:firstLineChars="0"/>
        <w:rPr>
          <w:lang w:val="zh-CN" w:bidi="zh-CN"/>
        </w:rPr>
      </w:pPr>
      <w:r>
        <w:rPr>
          <w:rFonts w:hint="eastAsia"/>
          <w:lang w:val="zh-CN" w:bidi="zh-CN"/>
        </w:rPr>
        <w:t>决策分析管理系统基础功能要求</w:t>
      </w:r>
    </w:p>
    <w:p>
      <w:pPr>
        <w:pStyle w:val="9"/>
        <w:snapToGrid w:val="0"/>
        <w:ind w:firstLine="480"/>
        <w:rPr>
          <w:rFonts w:hAnsi="宋体"/>
          <w:bCs/>
        </w:rPr>
      </w:pPr>
      <w:r>
        <w:rPr>
          <w:rFonts w:hint="eastAsia" w:hAnsi="宋体"/>
          <w:bCs/>
        </w:rPr>
        <w:t>决策分析管理系统需融合医院信息系统业务数据，结合标杆体系，帮助医院建设基于住院端BI数据分析平台，对医院运营情况、优劣评价、行业横向对比、病种结构和学科发展做全面分析解读。帮助医院在保证医疗质量的前提下合理控制成本，提高资源利用率，提高医院医疗服务能力，辅助推动医院学科发展，增强医院核心竞争力。功能要求如下：</w:t>
      </w:r>
    </w:p>
    <w:p>
      <w:pPr>
        <w:pStyle w:val="5"/>
        <w:numPr>
          <w:ilvl w:val="0"/>
          <w:numId w:val="7"/>
        </w:numPr>
        <w:ind w:firstLineChars="0"/>
      </w:pPr>
      <w:r>
        <w:rPr>
          <w:rFonts w:hint="eastAsia"/>
        </w:rPr>
        <w:t>区域数据分析</w:t>
      </w:r>
    </w:p>
    <w:p>
      <w:pPr>
        <w:pStyle w:val="9"/>
        <w:snapToGrid w:val="0"/>
        <w:ind w:firstLine="480"/>
        <w:rPr>
          <w:rFonts w:hAnsi="宋体"/>
          <w:bCs/>
        </w:rPr>
      </w:pPr>
      <w:r>
        <w:rPr>
          <w:rFonts w:hint="eastAsia" w:hAnsi="宋体"/>
          <w:bCs/>
        </w:rPr>
        <w:t>数据分析需具备承载区域数据和院内自有数据的分析能力。支持分析赣州市病种分值付费数据；分析功能可融合院内其他第三方系统数据；建设成为可用于住院端BI决策分析的数据平台。</w:t>
      </w:r>
    </w:p>
    <w:p>
      <w:pPr>
        <w:pStyle w:val="5"/>
        <w:numPr>
          <w:ilvl w:val="0"/>
          <w:numId w:val="7"/>
        </w:numPr>
        <w:ind w:firstLineChars="0"/>
      </w:pPr>
      <w:r>
        <w:rPr>
          <w:rFonts w:hint="eastAsia"/>
        </w:rPr>
        <w:t>病组指标分析</w:t>
      </w:r>
    </w:p>
    <w:p>
      <w:pPr>
        <w:pStyle w:val="9"/>
        <w:snapToGrid w:val="0"/>
        <w:ind w:firstLine="480"/>
        <w:rPr>
          <w:rFonts w:hAnsi="宋体"/>
          <w:bCs/>
        </w:rPr>
      </w:pPr>
      <w:r>
        <w:rPr>
          <w:rFonts w:hint="eastAsia" w:hAnsi="宋体"/>
          <w:bCs/>
        </w:rPr>
        <w:t>可根据病种分值病组维度查看各项指标值数据及同比值，能够展现各疾病大类下的产能指标、效率指标、安全指标，支持查看各科室对应覆盖的病组指标分析。</w:t>
      </w:r>
    </w:p>
    <w:p>
      <w:pPr>
        <w:pStyle w:val="5"/>
        <w:numPr>
          <w:ilvl w:val="0"/>
          <w:numId w:val="7"/>
        </w:numPr>
        <w:ind w:firstLineChars="0"/>
      </w:pPr>
      <w:r>
        <w:rPr>
          <w:rFonts w:hint="eastAsia"/>
        </w:rPr>
        <w:t>病例分析</w:t>
      </w:r>
    </w:p>
    <w:p>
      <w:pPr>
        <w:pStyle w:val="9"/>
        <w:snapToGrid w:val="0"/>
        <w:ind w:firstLine="480"/>
        <w:rPr>
          <w:rFonts w:hAnsi="宋体"/>
          <w:bCs/>
        </w:rPr>
      </w:pPr>
      <w:r>
        <w:rPr>
          <w:rFonts w:hint="eastAsia" w:hAnsi="宋体"/>
          <w:bCs/>
        </w:rPr>
        <w:t>支持统计任意周期内未入组病例、大于60天病例、死亡病例数，及未入组病例数中手术与诊断不符的病例。支持统计任意周期内全院各科室病种分值病组出院人数构成分析。</w:t>
      </w:r>
    </w:p>
    <w:p>
      <w:pPr>
        <w:pStyle w:val="5"/>
        <w:numPr>
          <w:ilvl w:val="0"/>
          <w:numId w:val="7"/>
        </w:numPr>
        <w:ind w:firstLineChars="0"/>
      </w:pPr>
      <w:r>
        <w:rPr>
          <w:rFonts w:hint="eastAsia"/>
        </w:rPr>
        <w:t>手术分析</w:t>
      </w:r>
    </w:p>
    <w:p>
      <w:pPr>
        <w:pStyle w:val="9"/>
        <w:snapToGrid w:val="0"/>
        <w:ind w:firstLine="480"/>
        <w:rPr>
          <w:rFonts w:hAnsi="宋体"/>
          <w:bCs/>
        </w:rPr>
      </w:pPr>
      <w:r>
        <w:rPr>
          <w:rFonts w:hint="eastAsia" w:hAnsi="宋体"/>
          <w:bCs/>
        </w:rPr>
        <w:t>支持统计全院各科室手术病组分析，按照不同科室主要手术或主要诊断，分析该主要手术或主要诊断对应的病种分值病组的例数、例均住院日、例均费用。</w:t>
      </w:r>
    </w:p>
    <w:p>
      <w:pPr>
        <w:pStyle w:val="5"/>
        <w:numPr>
          <w:ilvl w:val="0"/>
          <w:numId w:val="7"/>
        </w:numPr>
        <w:ind w:firstLineChars="0"/>
      </w:pPr>
      <w:r>
        <w:rPr>
          <w:rFonts w:hint="eastAsia"/>
        </w:rPr>
        <w:t>重点病组分析</w:t>
      </w:r>
    </w:p>
    <w:p>
      <w:pPr>
        <w:pStyle w:val="9"/>
        <w:snapToGrid w:val="0"/>
        <w:ind w:firstLine="480"/>
        <w:rPr>
          <w:rFonts w:hAnsi="宋体"/>
          <w:bCs/>
        </w:rPr>
      </w:pPr>
      <w:r>
        <w:rPr>
          <w:rFonts w:hint="eastAsia" w:hAnsi="宋体"/>
          <w:bCs/>
        </w:rPr>
        <w:t>针对本医院的特色学科，可定制重点病组进行分析。可以查看医院内各学科发展变化，查看各病组流向。</w:t>
      </w:r>
    </w:p>
    <w:p>
      <w:pPr>
        <w:pStyle w:val="5"/>
        <w:numPr>
          <w:ilvl w:val="0"/>
          <w:numId w:val="7"/>
        </w:numPr>
        <w:ind w:firstLineChars="0"/>
      </w:pPr>
      <w:r>
        <w:rPr>
          <w:rFonts w:hint="eastAsia"/>
        </w:rPr>
        <w:t>效率分析</w:t>
      </w:r>
    </w:p>
    <w:p>
      <w:pPr>
        <w:pStyle w:val="9"/>
        <w:snapToGrid w:val="0"/>
        <w:ind w:firstLine="480"/>
        <w:rPr>
          <w:rFonts w:hAnsi="宋体"/>
          <w:bCs/>
        </w:rPr>
      </w:pPr>
      <w:r>
        <w:rPr>
          <w:rFonts w:hint="eastAsia" w:hAnsi="宋体"/>
          <w:bCs/>
        </w:rPr>
        <w:t>可测算各个病组的平均住院日、各科室平均住院日，并且与相对应科室进行比较。</w:t>
      </w:r>
    </w:p>
    <w:p>
      <w:pPr>
        <w:pStyle w:val="5"/>
        <w:numPr>
          <w:ilvl w:val="0"/>
          <w:numId w:val="7"/>
        </w:numPr>
        <w:ind w:firstLineChars="0"/>
      </w:pPr>
      <w:r>
        <w:rPr>
          <w:rFonts w:hint="eastAsia"/>
        </w:rPr>
        <w:t>费用分析</w:t>
      </w:r>
    </w:p>
    <w:p>
      <w:pPr>
        <w:pStyle w:val="9"/>
        <w:snapToGrid w:val="0"/>
        <w:ind w:firstLine="480"/>
        <w:rPr>
          <w:rFonts w:hAnsi="宋体"/>
          <w:bCs/>
        </w:rPr>
      </w:pPr>
      <w:r>
        <w:rPr>
          <w:rFonts w:hint="eastAsia" w:hAnsi="宋体"/>
          <w:bCs/>
        </w:rPr>
        <w:t>支持病组科室费用盈亏分析，以及病种费用盈亏分析。支持院级、科室级监测，可显示医院、科室累计费用值与目标标杆值差距，实现病案首页费用信息，归集不同类别并与标杆进行不同类别对标（管理、护理、药品、耗材、医技、医疗），使费用分析更具针对性，定位费用异常科室。</w:t>
      </w:r>
    </w:p>
    <w:p>
      <w:pPr>
        <w:pStyle w:val="5"/>
        <w:numPr>
          <w:ilvl w:val="0"/>
          <w:numId w:val="7"/>
        </w:numPr>
        <w:ind w:firstLineChars="0"/>
      </w:pPr>
      <w:r>
        <w:rPr>
          <w:rFonts w:hint="eastAsia"/>
        </w:rPr>
        <w:t>关注指标监控</w:t>
      </w:r>
    </w:p>
    <w:p>
      <w:pPr>
        <w:pStyle w:val="9"/>
        <w:snapToGrid w:val="0"/>
        <w:ind w:firstLine="480"/>
        <w:rPr>
          <w:rFonts w:hAnsi="宋体"/>
          <w:bCs/>
        </w:rPr>
      </w:pPr>
      <w:r>
        <w:rPr>
          <w:rFonts w:hint="eastAsia" w:hAnsi="宋体"/>
          <w:bCs/>
        </w:rPr>
        <w:t>对医院关注的数据，如：药品和耗材按科室、医师进行监控，展示各科室、医师的药品/耗材与标杆费用比例。</w:t>
      </w:r>
    </w:p>
    <w:p>
      <w:pPr>
        <w:pStyle w:val="5"/>
        <w:numPr>
          <w:ilvl w:val="0"/>
          <w:numId w:val="7"/>
        </w:numPr>
        <w:ind w:firstLineChars="0"/>
      </w:pPr>
      <w:r>
        <w:rPr>
          <w:rFonts w:hint="eastAsia"/>
        </w:rPr>
        <w:t>产能分析</w:t>
      </w:r>
    </w:p>
    <w:p>
      <w:pPr>
        <w:pStyle w:val="9"/>
        <w:snapToGrid w:val="0"/>
        <w:ind w:firstLine="480"/>
        <w:rPr>
          <w:rFonts w:hAnsi="宋体"/>
          <w:bCs/>
        </w:rPr>
      </w:pPr>
      <w:r>
        <w:rPr>
          <w:rFonts w:hint="eastAsia" w:hAnsi="宋体"/>
          <w:bCs/>
        </w:rPr>
        <w:t>该系统应能根据综合指标分析医院的整体运营情况，即医院运营成本、盈亏情况及趋势、总权重指标、CMI指数、费用结构、病种结构、学科结构、出院人次结构分析，并提供多维度精细化分析医院整体和各科室运行状态。</w:t>
      </w:r>
    </w:p>
    <w:p>
      <w:pPr>
        <w:pStyle w:val="5"/>
        <w:numPr>
          <w:ilvl w:val="0"/>
          <w:numId w:val="7"/>
        </w:numPr>
        <w:ind w:firstLineChars="0"/>
      </w:pPr>
      <w:r>
        <w:rPr>
          <w:rFonts w:hint="eastAsia"/>
        </w:rPr>
        <w:t>效率管理</w:t>
      </w:r>
    </w:p>
    <w:p>
      <w:pPr>
        <w:pStyle w:val="9"/>
        <w:snapToGrid w:val="0"/>
        <w:ind w:firstLine="480"/>
        <w:rPr>
          <w:rFonts w:hAnsi="宋体"/>
          <w:bCs/>
        </w:rPr>
      </w:pPr>
      <w:r>
        <w:rPr>
          <w:rFonts w:hint="eastAsia" w:hAnsi="宋体"/>
          <w:bCs/>
        </w:rPr>
        <w:t>该系统需要从DRGs角度，提供医院、科系、科室的效率管理分析数据；提供时间消耗指数、住院日结余指标、能效指标（产能效率比）分析数据。</w:t>
      </w:r>
    </w:p>
    <w:p>
      <w:pPr>
        <w:pStyle w:val="5"/>
        <w:numPr>
          <w:ilvl w:val="0"/>
          <w:numId w:val="7"/>
        </w:numPr>
        <w:ind w:firstLineChars="0"/>
      </w:pPr>
      <w:r>
        <w:rPr>
          <w:rFonts w:hint="eastAsia"/>
        </w:rPr>
        <w:t>超支分析</w:t>
      </w:r>
    </w:p>
    <w:p>
      <w:pPr>
        <w:pStyle w:val="9"/>
        <w:snapToGrid w:val="0"/>
        <w:ind w:firstLine="480"/>
        <w:rPr>
          <w:rFonts w:hAnsi="宋体"/>
          <w:bCs/>
        </w:rPr>
      </w:pPr>
      <w:r>
        <w:rPr>
          <w:rFonts w:hint="eastAsia" w:hAnsi="宋体"/>
          <w:bCs/>
        </w:rPr>
        <w:t>该系统需要以DRGs管理视角，分析医院整体、科系、科室、医师、病种维度的超支情况，具体指标包括：超支分析、超支趋势、超支构成、转科超支、重症超支、轻症超支、个案超支。</w:t>
      </w:r>
    </w:p>
    <w:p>
      <w:pPr>
        <w:pStyle w:val="5"/>
        <w:numPr>
          <w:ilvl w:val="0"/>
          <w:numId w:val="7"/>
        </w:numPr>
        <w:ind w:firstLineChars="0"/>
      </w:pPr>
      <w:r>
        <w:rPr>
          <w:rFonts w:hint="eastAsia"/>
        </w:rPr>
        <w:t>安全管理</w:t>
      </w:r>
    </w:p>
    <w:p>
      <w:pPr>
        <w:pStyle w:val="9"/>
        <w:snapToGrid w:val="0"/>
        <w:ind w:firstLine="480"/>
        <w:rPr>
          <w:rFonts w:hAnsi="宋体"/>
          <w:bCs/>
        </w:rPr>
      </w:pPr>
      <w:r>
        <w:rPr>
          <w:rFonts w:hint="eastAsia" w:hAnsi="宋体"/>
          <w:bCs/>
        </w:rPr>
        <w:t>该系统需要从DRGs角度，提供医院、科系、科室、医师的安全管理分析数据。如：低风险死亡情况、中低风险死亡情况。</w:t>
      </w:r>
    </w:p>
    <w:p>
      <w:pPr>
        <w:pStyle w:val="5"/>
        <w:numPr>
          <w:ilvl w:val="0"/>
          <w:numId w:val="7"/>
        </w:numPr>
        <w:ind w:firstLineChars="0"/>
      </w:pPr>
      <w:r>
        <w:rPr>
          <w:rFonts w:hint="eastAsia"/>
        </w:rPr>
        <w:t>DRGs指标定制报表</w:t>
      </w:r>
    </w:p>
    <w:p>
      <w:pPr>
        <w:pStyle w:val="9"/>
        <w:snapToGrid w:val="0"/>
        <w:ind w:firstLine="480"/>
        <w:rPr>
          <w:rFonts w:hAnsi="宋体"/>
          <w:bCs/>
        </w:rPr>
      </w:pPr>
      <w:r>
        <w:rPr>
          <w:rFonts w:hint="eastAsia" w:hAnsi="宋体"/>
          <w:bCs/>
        </w:rPr>
        <w:t>针对医院个性化需求，定制DRG相关报表，并有导出功能。</w:t>
      </w:r>
    </w:p>
    <w:p>
      <w:pPr>
        <w:pStyle w:val="5"/>
        <w:numPr>
          <w:ilvl w:val="0"/>
          <w:numId w:val="7"/>
        </w:numPr>
        <w:ind w:firstLineChars="0"/>
      </w:pPr>
      <w:r>
        <w:rPr>
          <w:rFonts w:hint="eastAsia"/>
        </w:rPr>
        <w:t>学科发展分析</w:t>
      </w:r>
    </w:p>
    <w:p>
      <w:pPr>
        <w:pStyle w:val="9"/>
        <w:snapToGrid w:val="0"/>
        <w:ind w:firstLine="480"/>
        <w:rPr>
          <w:rFonts w:hAnsi="宋体"/>
          <w:bCs/>
        </w:rPr>
      </w:pPr>
      <w:r>
        <w:rPr>
          <w:rFonts w:hint="eastAsia" w:hAnsi="宋体"/>
          <w:bCs/>
        </w:rPr>
        <w:t>该系统需要以DRGs管理模式，分析医院的病种结构、学科结构、出院人次结构指标，多维度精细化分析医院整体和各科室运行状态。</w:t>
      </w:r>
    </w:p>
    <w:p>
      <w:pPr>
        <w:pStyle w:val="5"/>
        <w:numPr>
          <w:ilvl w:val="0"/>
          <w:numId w:val="7"/>
        </w:numPr>
        <w:ind w:firstLineChars="0"/>
      </w:pPr>
      <w:r>
        <w:rPr>
          <w:rFonts w:hint="eastAsia"/>
        </w:rPr>
        <w:t>医保管理</w:t>
      </w:r>
    </w:p>
    <w:p>
      <w:pPr>
        <w:pStyle w:val="9"/>
        <w:snapToGrid w:val="0"/>
        <w:ind w:firstLine="480"/>
        <w:rPr>
          <w:rFonts w:hAnsi="宋体"/>
          <w:bCs/>
        </w:rPr>
      </w:pPr>
      <w:r>
        <w:rPr>
          <w:rFonts w:hint="eastAsia" w:hAnsi="宋体"/>
          <w:bCs/>
        </w:rPr>
        <w:t>该系统需要从DRGs角度，提供医院、科室、医师的医保管理分析数据：提供手术（大手术、中手术、小手术）、操作、内科（重症、中症、轻症）的医保管理分析数据；提供各层级费用结构的超支分析；医保监控组的分析。以上分析数据包括医保结余、医保超支、医保支用比、医保高人次组指标、医保轻症核查指标、违规统计、医保重点监控数据。</w:t>
      </w:r>
    </w:p>
    <w:p>
      <w:pPr>
        <w:pStyle w:val="5"/>
        <w:numPr>
          <w:ilvl w:val="0"/>
          <w:numId w:val="7"/>
        </w:numPr>
        <w:ind w:firstLineChars="0"/>
      </w:pPr>
      <w:r>
        <w:rPr>
          <w:rFonts w:hint="eastAsia"/>
        </w:rPr>
        <w:t>数据可视化展示</w:t>
      </w:r>
    </w:p>
    <w:p>
      <w:pPr>
        <w:pStyle w:val="9"/>
        <w:snapToGrid w:val="0"/>
        <w:ind w:firstLine="480"/>
        <w:rPr>
          <w:rFonts w:hAnsi="宋体"/>
          <w:bCs/>
        </w:rPr>
      </w:pPr>
      <w:r>
        <w:rPr>
          <w:rFonts w:hint="eastAsia" w:hAnsi="宋体"/>
          <w:bCs/>
        </w:rPr>
        <w:t>该系统的分析指标，其前台需对数据进行可视化处理，根据不同数据类型提供散点图、柱状图、曲线图、饼状图、仪表盘，使管理者迅速、简洁、直观掌握各类信息。</w:t>
      </w:r>
    </w:p>
    <w:p>
      <w:pPr>
        <w:pStyle w:val="2"/>
        <w:numPr>
          <w:ilvl w:val="0"/>
          <w:numId w:val="1"/>
        </w:numPr>
        <w:ind w:firstLine="643"/>
        <w:rPr>
          <w:sz w:val="32"/>
          <w:szCs w:val="32"/>
        </w:rPr>
      </w:pPr>
      <w:bookmarkStart w:id="1" w:name="_Toc479991563"/>
      <w:bookmarkStart w:id="2" w:name="_Toc480021034"/>
      <w:bookmarkStart w:id="3" w:name="_Toc72922046"/>
      <w:bookmarkStart w:id="4" w:name="_Toc480171860"/>
      <w:bookmarkStart w:id="5" w:name="_Toc468157517"/>
      <w:bookmarkStart w:id="6" w:name="_Toc468606010"/>
      <w:bookmarkStart w:id="7" w:name="_Toc480020238"/>
      <w:bookmarkStart w:id="8" w:name="_Toc480010689"/>
      <w:r>
        <w:rPr>
          <w:rFonts w:hint="eastAsia"/>
          <w:sz w:val="32"/>
          <w:szCs w:val="32"/>
        </w:rPr>
        <w:t>商务要求</w:t>
      </w:r>
      <w:bookmarkEnd w:id="1"/>
      <w:bookmarkEnd w:id="2"/>
      <w:bookmarkEnd w:id="3"/>
      <w:bookmarkEnd w:id="4"/>
      <w:bookmarkEnd w:id="5"/>
      <w:bookmarkEnd w:id="6"/>
      <w:bookmarkEnd w:id="7"/>
      <w:bookmarkEnd w:id="8"/>
    </w:p>
    <w:p>
      <w:pPr>
        <w:numPr>
          <w:ilvl w:val="0"/>
          <w:numId w:val="8"/>
        </w:numPr>
        <w:tabs>
          <w:tab w:val="left" w:pos="525"/>
          <w:tab w:val="left" w:pos="945"/>
        </w:tabs>
        <w:spacing w:line="480" w:lineRule="exact"/>
        <w:ind w:left="0" w:firstLine="480"/>
        <w:rPr>
          <w:rFonts w:ascii="宋体" w:hAnsi="宋体"/>
        </w:rPr>
      </w:pPr>
      <w:r>
        <w:rPr>
          <w:rFonts w:hint="eastAsia" w:ascii="宋体" w:hAnsi="宋体"/>
        </w:rPr>
        <w:t>本次招标采购内容为</w:t>
      </w:r>
      <w:r>
        <w:rPr>
          <w:rFonts w:hint="eastAsia" w:ascii="宋体" w:hAnsi="宋体" w:cs="宋体"/>
        </w:rPr>
        <w:t>赣州市肿瘤医院</w:t>
      </w:r>
      <w:r>
        <w:rPr>
          <w:rFonts w:hint="eastAsia" w:ascii="宋体" w:hAnsi="宋体"/>
        </w:rPr>
        <w:t>病种付费管理系统（具体要求详见“技术要求”）。投标人不得将本项目中的内容拆散来投标。</w:t>
      </w:r>
    </w:p>
    <w:p>
      <w:pPr>
        <w:numPr>
          <w:ilvl w:val="0"/>
          <w:numId w:val="8"/>
        </w:numPr>
        <w:tabs>
          <w:tab w:val="left" w:pos="525"/>
          <w:tab w:val="left" w:pos="945"/>
        </w:tabs>
        <w:spacing w:line="480" w:lineRule="exact"/>
        <w:ind w:left="0" w:firstLine="480"/>
        <w:rPr>
          <w:rFonts w:ascii="宋体" w:hAnsi="宋体"/>
          <w:bCs/>
        </w:rPr>
      </w:pPr>
      <w:r>
        <w:rPr>
          <w:rFonts w:hint="eastAsia" w:ascii="宋体" w:hAnsi="宋体"/>
          <w:bCs/>
        </w:rPr>
        <w:t>投标人所投报的产品必须是本国产品，本项目不接受所投报产品为进口产品的投标。（本招标文件中所称进口产品是指通过中国海关报关验放进入中国境内且产自关境外的产品）</w:t>
      </w:r>
    </w:p>
    <w:p>
      <w:pPr>
        <w:numPr>
          <w:ilvl w:val="0"/>
          <w:numId w:val="8"/>
        </w:numPr>
        <w:tabs>
          <w:tab w:val="left" w:pos="945"/>
          <w:tab w:val="left" w:pos="1155"/>
          <w:tab w:val="left" w:pos="1260"/>
        </w:tabs>
        <w:spacing w:line="480" w:lineRule="exact"/>
        <w:ind w:left="0" w:firstLine="480"/>
        <w:rPr>
          <w:rFonts w:ascii="宋体" w:hAnsi="宋体"/>
        </w:rPr>
      </w:pPr>
      <w:r>
        <w:rPr>
          <w:rFonts w:hint="eastAsia" w:ascii="宋体" w:hAnsi="宋体"/>
          <w:bCs/>
        </w:rPr>
        <w:t>投标报价应为人民币含税全包价，包括系统的设计、开发、升级、测试、运输、安装调试、对接、验收、年度例行校正、培训、售后服务及相关服务等</w:t>
      </w:r>
      <w:r>
        <w:rPr>
          <w:rFonts w:hint="eastAsia" w:ascii="宋体" w:hAnsi="宋体"/>
          <w:b/>
        </w:rPr>
        <w:t>一</w:t>
      </w:r>
      <w:r>
        <w:rPr>
          <w:rFonts w:hint="eastAsia" w:ascii="宋体" w:hAnsi="宋体"/>
          <w:bCs/>
        </w:rPr>
        <w:t>切费用。</w:t>
      </w:r>
      <w:r>
        <w:rPr>
          <w:rFonts w:hint="eastAsia" w:ascii="宋体" w:hAnsi="宋体"/>
        </w:rPr>
        <w:t>在与第三方产品对接时，对方产品改造所发生的费用不在本项目预算之内。</w:t>
      </w:r>
    </w:p>
    <w:p>
      <w:pPr>
        <w:numPr>
          <w:ilvl w:val="0"/>
          <w:numId w:val="8"/>
        </w:numPr>
        <w:tabs>
          <w:tab w:val="left" w:pos="945"/>
          <w:tab w:val="left" w:pos="1155"/>
        </w:tabs>
        <w:spacing w:line="480" w:lineRule="exact"/>
        <w:ind w:left="0" w:firstLine="480"/>
        <w:rPr>
          <w:rFonts w:ascii="宋体" w:hAnsi="宋体"/>
        </w:rPr>
      </w:pPr>
      <w:r>
        <w:rPr>
          <w:rFonts w:hint="eastAsia" w:ascii="宋体" w:hAnsi="宋体"/>
          <w:bCs/>
        </w:rPr>
        <w:t>完工期：</w:t>
      </w:r>
      <w:r>
        <w:rPr>
          <w:rFonts w:hint="eastAsia" w:ascii="宋体" w:hAnsi="宋体"/>
        </w:rPr>
        <w:t>合同签订生效后</w:t>
      </w:r>
      <w:r>
        <w:rPr>
          <w:rFonts w:ascii="宋体" w:hAnsi="宋体"/>
          <w:u w:val="single"/>
        </w:rPr>
        <w:t>30</w:t>
      </w:r>
      <w:r>
        <w:rPr>
          <w:rFonts w:hint="eastAsia" w:ascii="宋体" w:hAnsi="宋体"/>
        </w:rPr>
        <w:t>个工作日内完成所有系统的</w:t>
      </w:r>
      <w:r>
        <w:rPr>
          <w:rFonts w:hint="eastAsia" w:ascii="宋体" w:hAnsi="宋体" w:cs="宋体"/>
        </w:rPr>
        <w:t>安装部署、测试调试、培训及上线工作</w:t>
      </w:r>
      <w:r>
        <w:rPr>
          <w:rFonts w:hint="eastAsia" w:ascii="宋体" w:hAnsi="宋体"/>
        </w:rPr>
        <w:t>。</w:t>
      </w:r>
    </w:p>
    <w:p>
      <w:pPr>
        <w:numPr>
          <w:ilvl w:val="0"/>
          <w:numId w:val="8"/>
        </w:numPr>
        <w:tabs>
          <w:tab w:val="left" w:pos="945"/>
          <w:tab w:val="left" w:pos="1155"/>
        </w:tabs>
        <w:spacing w:line="480" w:lineRule="exact"/>
        <w:ind w:left="0" w:firstLine="480"/>
        <w:rPr>
          <w:rFonts w:ascii="宋体" w:hAnsi="宋体"/>
        </w:rPr>
      </w:pPr>
      <w:r>
        <w:rPr>
          <w:rFonts w:hint="eastAsia" w:ascii="宋体" w:hAnsi="宋体"/>
        </w:rPr>
        <w:t>交货地点：</w:t>
      </w:r>
      <w:r>
        <w:rPr>
          <w:rFonts w:hint="eastAsia" w:ascii="宋体" w:hAnsi="宋体" w:cs="宋体"/>
        </w:rPr>
        <w:t>赣州市肿瘤医院</w:t>
      </w:r>
      <w:r>
        <w:rPr>
          <w:rFonts w:hint="eastAsia" w:ascii="宋体" w:hAnsi="宋体"/>
        </w:rPr>
        <w:t>指定地点（以合同为准）。</w:t>
      </w:r>
    </w:p>
    <w:p>
      <w:pPr>
        <w:numPr>
          <w:ilvl w:val="0"/>
          <w:numId w:val="8"/>
        </w:numPr>
        <w:tabs>
          <w:tab w:val="left" w:pos="945"/>
          <w:tab w:val="left" w:pos="1155"/>
        </w:tabs>
        <w:spacing w:line="480" w:lineRule="exact"/>
        <w:ind w:left="0" w:firstLine="480"/>
        <w:rPr>
          <w:rFonts w:ascii="宋体" w:hAnsi="宋体"/>
        </w:rPr>
      </w:pPr>
      <w:r>
        <w:rPr>
          <w:rFonts w:hint="eastAsia" w:ascii="宋体" w:hAnsi="宋体"/>
        </w:rPr>
        <w:t>验收：</w:t>
      </w:r>
    </w:p>
    <w:p>
      <w:pPr>
        <w:tabs>
          <w:tab w:val="left" w:pos="1155"/>
        </w:tabs>
        <w:spacing w:line="480" w:lineRule="exact"/>
        <w:ind w:firstLine="480"/>
        <w:rPr>
          <w:rFonts w:ascii="宋体" w:hAnsi="宋体"/>
        </w:rPr>
      </w:pPr>
      <w:r>
        <w:rPr>
          <w:rFonts w:hint="eastAsia" w:ascii="宋体" w:hAnsi="宋体"/>
        </w:rPr>
        <w:t>（1）系统安装完工</w:t>
      </w:r>
      <w:r>
        <w:rPr>
          <w:rFonts w:hint="eastAsia" w:ascii="宋体" w:hAnsi="宋体" w:cs="宋体"/>
        </w:rPr>
        <w:t>且测试运行稳定后向采购人提出验收申请</w:t>
      </w:r>
      <w:r>
        <w:rPr>
          <w:rFonts w:hint="eastAsia" w:ascii="宋体" w:hAnsi="宋体"/>
        </w:rPr>
        <w:t>后，由中标供应商和采购人共同验收。采购人</w:t>
      </w:r>
      <w:r>
        <w:rPr>
          <w:rFonts w:hint="eastAsia" w:ascii="宋体" w:hAnsi="宋体" w:cs="宋体"/>
        </w:rPr>
        <w:t>应在</w:t>
      </w:r>
      <w:r>
        <w:rPr>
          <w:rFonts w:hint="eastAsia" w:ascii="宋体" w:hAnsi="宋体"/>
        </w:rPr>
        <w:t>中标供应商</w:t>
      </w:r>
      <w:r>
        <w:rPr>
          <w:rFonts w:hint="eastAsia" w:ascii="宋体" w:hAnsi="宋体" w:cs="宋体"/>
        </w:rPr>
        <w:t>提出申请后</w:t>
      </w:r>
      <w:r>
        <w:rPr>
          <w:rFonts w:ascii="宋体" w:hAnsi="宋体" w:cs="宋体"/>
        </w:rPr>
        <w:t>5</w:t>
      </w:r>
      <w:r>
        <w:rPr>
          <w:rFonts w:hint="eastAsia" w:ascii="宋体" w:hAnsi="宋体" w:cs="宋体"/>
        </w:rPr>
        <w:t>个工作日内安排验收，验收合格的，</w:t>
      </w:r>
      <w:r>
        <w:rPr>
          <w:rFonts w:hint="eastAsia" w:ascii="宋体" w:hAnsi="宋体"/>
        </w:rPr>
        <w:t>采购人</w:t>
      </w:r>
      <w:r>
        <w:rPr>
          <w:rFonts w:hint="eastAsia" w:ascii="宋体" w:hAnsi="宋体" w:cs="宋体"/>
        </w:rPr>
        <w:t>应在验收报告书中签署确认，验收不合格的，</w:t>
      </w:r>
      <w:r>
        <w:rPr>
          <w:rFonts w:hint="eastAsia" w:ascii="宋体" w:hAnsi="宋体"/>
        </w:rPr>
        <w:t>采购人</w:t>
      </w:r>
      <w:r>
        <w:rPr>
          <w:rFonts w:hint="eastAsia" w:ascii="宋体" w:hAnsi="宋体" w:cs="宋体"/>
        </w:rPr>
        <w:t>应在验收报告中注明不合格点，由</w:t>
      </w:r>
      <w:r>
        <w:rPr>
          <w:rFonts w:hint="eastAsia" w:ascii="宋体" w:hAnsi="宋体"/>
        </w:rPr>
        <w:t>中标供应商</w:t>
      </w:r>
      <w:r>
        <w:rPr>
          <w:rFonts w:hint="eastAsia" w:ascii="宋体" w:hAnsi="宋体" w:cs="宋体"/>
        </w:rPr>
        <w:t>继续调试，直至验收合格。</w:t>
      </w:r>
      <w:r>
        <w:rPr>
          <w:rFonts w:hint="eastAsia" w:ascii="宋体" w:hAnsi="宋体"/>
        </w:rPr>
        <w:t>中标供应商须为验收提供必需的设备、工具及其他便利条件；</w:t>
      </w:r>
    </w:p>
    <w:p>
      <w:pPr>
        <w:tabs>
          <w:tab w:val="left" w:pos="1155"/>
        </w:tabs>
        <w:spacing w:line="480" w:lineRule="exact"/>
        <w:ind w:firstLine="480"/>
        <w:rPr>
          <w:rFonts w:ascii="宋体" w:hAnsi="宋体"/>
        </w:rPr>
      </w:pPr>
      <w:r>
        <w:rPr>
          <w:rFonts w:hint="eastAsia" w:ascii="宋体" w:hAnsi="宋体"/>
        </w:rPr>
        <w:t>（</w:t>
      </w:r>
      <w:r>
        <w:rPr>
          <w:rFonts w:ascii="宋体" w:hAnsi="宋体"/>
        </w:rPr>
        <w:t>2</w:t>
      </w:r>
      <w:r>
        <w:rPr>
          <w:rFonts w:hint="eastAsia" w:ascii="宋体" w:hAnsi="宋体"/>
        </w:rPr>
        <w:t>）验收标准以本次招标文件中所规定的全部相关要求为准。</w:t>
      </w:r>
    </w:p>
    <w:p>
      <w:pPr>
        <w:numPr>
          <w:ilvl w:val="0"/>
          <w:numId w:val="8"/>
        </w:numPr>
        <w:tabs>
          <w:tab w:val="left" w:pos="928"/>
          <w:tab w:val="left" w:pos="1155"/>
        </w:tabs>
        <w:spacing w:line="480" w:lineRule="exact"/>
        <w:ind w:left="0" w:firstLine="480"/>
        <w:rPr>
          <w:rFonts w:ascii="宋体" w:hAnsi="宋体"/>
          <w:bCs/>
        </w:rPr>
      </w:pPr>
      <w:r>
        <w:rPr>
          <w:rFonts w:hint="eastAsia" w:ascii="宋体" w:hAnsi="宋体"/>
          <w:bCs/>
        </w:rPr>
        <w:t>培训服务</w:t>
      </w:r>
    </w:p>
    <w:p>
      <w:pPr>
        <w:tabs>
          <w:tab w:val="left" w:pos="1080"/>
        </w:tabs>
        <w:spacing w:line="480" w:lineRule="exact"/>
        <w:ind w:firstLine="480"/>
        <w:rPr>
          <w:rFonts w:ascii="宋体" w:hAnsi="宋体"/>
        </w:rPr>
      </w:pPr>
      <w:r>
        <w:rPr>
          <w:rFonts w:hint="eastAsia"/>
        </w:rPr>
        <w:t>对采购人操作人员提供软件操作规程培训，讲解软件的基本结构及操作流程，直至操作人员掌握软件的日常使用、维护保养方法，保证操作人员可正确使用</w:t>
      </w:r>
      <w:r>
        <w:rPr>
          <w:rFonts w:hint="eastAsia" w:ascii="宋体" w:hAnsi="宋体"/>
        </w:rPr>
        <w:t>。</w:t>
      </w:r>
    </w:p>
    <w:p>
      <w:pPr>
        <w:numPr>
          <w:ilvl w:val="0"/>
          <w:numId w:val="8"/>
        </w:numPr>
        <w:tabs>
          <w:tab w:val="left" w:pos="928"/>
          <w:tab w:val="left" w:pos="1155"/>
        </w:tabs>
        <w:spacing w:line="480" w:lineRule="exact"/>
        <w:ind w:left="0" w:firstLine="480"/>
        <w:rPr>
          <w:rFonts w:ascii="宋体" w:hAnsi="宋体"/>
          <w:bCs/>
        </w:rPr>
      </w:pPr>
      <w:r>
        <w:rPr>
          <w:rFonts w:hint="eastAsia" w:ascii="宋体" w:hAnsi="宋体"/>
          <w:bCs/>
        </w:rPr>
        <w:t>售后服务</w:t>
      </w:r>
    </w:p>
    <w:p>
      <w:pPr>
        <w:tabs>
          <w:tab w:val="left" w:pos="1080"/>
        </w:tabs>
        <w:spacing w:line="480" w:lineRule="exact"/>
        <w:ind w:firstLine="480"/>
        <w:rPr>
          <w:rFonts w:ascii="宋体" w:hAnsi="宋体"/>
        </w:rPr>
      </w:pPr>
      <w:r>
        <w:rPr>
          <w:rFonts w:hint="eastAsia" w:ascii="宋体" w:hAnsi="宋体"/>
        </w:rPr>
        <w:t>（</w:t>
      </w:r>
      <w:r>
        <w:rPr>
          <w:rFonts w:ascii="宋体" w:hAnsi="宋体"/>
        </w:rPr>
        <w:t>1</w:t>
      </w:r>
      <w:r>
        <w:rPr>
          <w:rFonts w:hint="eastAsia" w:ascii="宋体" w:hAnsi="宋体"/>
        </w:rPr>
        <w:t>）</w:t>
      </w:r>
      <w:r>
        <w:rPr>
          <w:rFonts w:hint="eastAsia"/>
        </w:rPr>
        <w:t>投标人需提供</w:t>
      </w:r>
      <w:r>
        <w:rPr>
          <w:rFonts w:hint="eastAsia" w:ascii="宋体" w:hAnsi="宋体"/>
        </w:rPr>
        <w:t>终身售后服务。软件出现异常或故障时，问题响应时间：远程立刻响应，如远程解决不了的4小时内上门提供服务，并在24小时内解决问题。系统维护期为</w:t>
      </w:r>
      <w:r>
        <w:rPr>
          <w:rFonts w:hint="eastAsia" w:ascii="宋体" w:hAnsi="宋体"/>
          <w:u w:val="single"/>
        </w:rPr>
        <w:t xml:space="preserve"> </w:t>
      </w:r>
      <w:r>
        <w:rPr>
          <w:rFonts w:hint="eastAsia" w:ascii="宋体" w:hAnsi="宋体"/>
          <w:b/>
          <w:bCs/>
          <w:u w:val="single"/>
        </w:rPr>
        <w:t>1</w:t>
      </w:r>
      <w:r>
        <w:rPr>
          <w:rFonts w:hint="eastAsia" w:ascii="宋体" w:hAnsi="宋体"/>
          <w:b/>
        </w:rPr>
        <w:t>年</w:t>
      </w:r>
      <w:r>
        <w:rPr>
          <w:rFonts w:hint="eastAsia" w:ascii="宋体" w:hAnsi="宋体"/>
        </w:rPr>
        <w:t>，维护期内所有服务产生的费用均不再</w:t>
      </w:r>
      <w:r>
        <w:rPr>
          <w:rFonts w:hint="eastAsia"/>
        </w:rPr>
        <w:t>收取</w:t>
      </w:r>
      <w:r>
        <w:rPr>
          <w:rFonts w:hint="eastAsia" w:ascii="宋体" w:hAnsi="宋体"/>
        </w:rPr>
        <w:t>。</w:t>
      </w:r>
    </w:p>
    <w:p>
      <w:pPr>
        <w:ind w:firstLine="480"/>
      </w:pPr>
      <w:r>
        <w:rPr>
          <w:rFonts w:hint="eastAsia" w:ascii="宋体" w:hAnsi="宋体"/>
        </w:rPr>
        <w:t>（</w:t>
      </w:r>
      <w:r>
        <w:rPr>
          <w:rFonts w:ascii="宋体" w:hAnsi="宋体"/>
        </w:rPr>
        <w:t>2</w:t>
      </w:r>
      <w:r>
        <w:rPr>
          <w:rFonts w:hint="eastAsia" w:ascii="宋体" w:hAnsi="宋体"/>
        </w:rPr>
        <w:t>）</w:t>
      </w:r>
      <w:r>
        <w:rPr>
          <w:rFonts w:hint="eastAsia"/>
        </w:rPr>
        <w:t>系统扩展、升级服务要求：质保期内免费维护及产品升级。质保期外提供有偿售后服务，年服务费用总计不超过成交价的10%，具体由采购人与投标人协商确定</w:t>
      </w:r>
      <w:r>
        <w:rPr>
          <w:rFonts w:hint="eastAsia" w:ascii="宋体" w:hAnsi="宋体" w:cs="宋体"/>
        </w:rPr>
        <w:t>。</w:t>
      </w:r>
    </w:p>
    <w:p>
      <w:pPr>
        <w:tabs>
          <w:tab w:val="left" w:pos="1155"/>
        </w:tabs>
        <w:spacing w:line="480" w:lineRule="exact"/>
        <w:ind w:firstLine="482"/>
        <w:rPr>
          <w:rFonts w:ascii="宋体" w:hAnsi="宋体"/>
          <w:b/>
          <w:bCs/>
        </w:rPr>
      </w:pPr>
      <w:r>
        <w:rPr>
          <w:rFonts w:hint="eastAsia" w:ascii="宋体" w:hAnsi="宋体"/>
          <w:b/>
        </w:rPr>
        <w:t>（技术要求中有特别要求的以技术要求为主）</w:t>
      </w:r>
    </w:p>
    <w:p>
      <w:pPr>
        <w:numPr>
          <w:ilvl w:val="0"/>
          <w:numId w:val="8"/>
        </w:numPr>
        <w:tabs>
          <w:tab w:val="left" w:pos="945"/>
          <w:tab w:val="left" w:pos="1155"/>
          <w:tab w:val="left" w:pos="1260"/>
        </w:tabs>
        <w:spacing w:line="480" w:lineRule="exact"/>
        <w:ind w:left="0" w:firstLine="482"/>
        <w:rPr>
          <w:rFonts w:ascii="宋体" w:hAnsi="宋体"/>
        </w:rPr>
      </w:pPr>
      <w:r>
        <w:rPr>
          <w:rFonts w:hint="eastAsia" w:ascii="宋体" w:hAnsi="宋体"/>
          <w:b/>
          <w:bCs/>
        </w:rPr>
        <w:t>付款方式：分期付款。</w:t>
      </w:r>
    </w:p>
    <w:p>
      <w:pPr>
        <w:pStyle w:val="9"/>
        <w:tabs>
          <w:tab w:val="left" w:pos="1350"/>
        </w:tabs>
        <w:spacing w:line="480" w:lineRule="exact"/>
        <w:ind w:firstLine="480"/>
        <w:rPr>
          <w:rFonts w:hAnsi="宋体"/>
          <w:szCs w:val="21"/>
        </w:rPr>
      </w:pPr>
      <w:r>
        <w:rPr>
          <w:rFonts w:hint="eastAsia" w:hAnsi="宋体"/>
        </w:rPr>
        <w:t>（1）</w:t>
      </w:r>
      <w:r>
        <w:rPr>
          <w:rFonts w:hint="eastAsia" w:hAnsi="宋体"/>
          <w:szCs w:val="21"/>
        </w:rPr>
        <w:t>合同签订生效后的</w:t>
      </w:r>
      <w:r>
        <w:rPr>
          <w:rFonts w:hAnsi="宋体"/>
          <w:szCs w:val="21"/>
        </w:rPr>
        <w:t>10</w:t>
      </w:r>
      <w:r>
        <w:rPr>
          <w:rFonts w:hint="eastAsia" w:hAnsi="宋体"/>
          <w:szCs w:val="21"/>
        </w:rPr>
        <w:t>个工作日内，将合同总金额的</w:t>
      </w:r>
      <w:r>
        <w:rPr>
          <w:rFonts w:hAnsi="宋体"/>
          <w:szCs w:val="21"/>
          <w:u w:val="single"/>
        </w:rPr>
        <w:t>45%</w:t>
      </w:r>
      <w:r>
        <w:rPr>
          <w:rFonts w:hint="eastAsia" w:hAnsi="宋体"/>
          <w:szCs w:val="21"/>
        </w:rPr>
        <w:t>支付给中标供应商。</w:t>
      </w:r>
    </w:p>
    <w:p>
      <w:pPr>
        <w:pStyle w:val="9"/>
        <w:tabs>
          <w:tab w:val="left" w:pos="1350"/>
        </w:tabs>
        <w:spacing w:line="480" w:lineRule="exact"/>
        <w:ind w:firstLine="480"/>
        <w:rPr>
          <w:rFonts w:hAnsi="宋体"/>
        </w:rPr>
      </w:pPr>
      <w:r>
        <w:rPr>
          <w:rFonts w:hint="eastAsia" w:hAnsi="宋体" w:cs="宋体"/>
          <w:szCs w:val="24"/>
        </w:rPr>
        <w:t>（2）</w:t>
      </w:r>
      <w:r>
        <w:rPr>
          <w:rFonts w:hint="eastAsia" w:hAnsi="宋体" w:cs="宋体"/>
        </w:rPr>
        <w:t>系统安装调试完毕并验收合格</w:t>
      </w:r>
      <w:r>
        <w:rPr>
          <w:rFonts w:hint="eastAsia" w:hAnsi="宋体" w:cs="宋体"/>
          <w:szCs w:val="24"/>
        </w:rPr>
        <w:t>后的</w:t>
      </w:r>
      <w:r>
        <w:rPr>
          <w:rFonts w:hAnsi="宋体" w:cs="宋体"/>
          <w:szCs w:val="24"/>
        </w:rPr>
        <w:t>10</w:t>
      </w:r>
      <w:r>
        <w:rPr>
          <w:rFonts w:hint="eastAsia" w:hAnsi="宋体" w:cs="宋体"/>
          <w:szCs w:val="24"/>
        </w:rPr>
        <w:t>个工作日内，将合同总金额的</w:t>
      </w:r>
      <w:r>
        <w:rPr>
          <w:rFonts w:hint="eastAsia" w:hAnsi="宋体" w:cs="宋体"/>
          <w:szCs w:val="24"/>
          <w:u w:val="single"/>
        </w:rPr>
        <w:t>50</w:t>
      </w:r>
      <w:r>
        <w:rPr>
          <w:rFonts w:hint="eastAsia" w:hAnsi="宋体" w:cs="宋体"/>
          <w:szCs w:val="24"/>
        </w:rPr>
        <w:t>％支付给中标供应商。</w:t>
      </w:r>
    </w:p>
    <w:p>
      <w:pPr>
        <w:pStyle w:val="9"/>
        <w:tabs>
          <w:tab w:val="left" w:pos="1350"/>
        </w:tabs>
        <w:spacing w:line="480" w:lineRule="exact"/>
        <w:ind w:firstLine="480"/>
        <w:rPr>
          <w:rFonts w:hAnsi="宋体"/>
        </w:rPr>
      </w:pPr>
      <w:r>
        <w:rPr>
          <w:rFonts w:hint="eastAsia" w:hAnsi="宋体" w:cs="宋体"/>
          <w:szCs w:val="24"/>
        </w:rPr>
        <w:t>（3）</w:t>
      </w:r>
      <w:r>
        <w:rPr>
          <w:rFonts w:hint="eastAsia" w:hAnsi="宋体" w:cs="宋体"/>
        </w:rPr>
        <w:t>合同总金额的</w:t>
      </w:r>
      <w:r>
        <w:rPr>
          <w:rFonts w:hint="eastAsia" w:hAnsi="宋体" w:cs="宋体"/>
          <w:u w:val="single"/>
        </w:rPr>
        <w:t>5%</w:t>
      </w:r>
      <w:r>
        <w:rPr>
          <w:rFonts w:hint="eastAsia" w:hAnsi="宋体" w:cs="宋体"/>
        </w:rPr>
        <w:t>款项作为质保金，质保期（1 年）满后</w:t>
      </w:r>
      <w:r>
        <w:rPr>
          <w:rFonts w:hAnsi="宋体" w:cs="宋体"/>
        </w:rPr>
        <w:t>10</w:t>
      </w:r>
      <w:r>
        <w:rPr>
          <w:rFonts w:hint="eastAsia" w:hAnsi="宋体" w:cs="宋体"/>
        </w:rPr>
        <w:t>个工作日内支付给中标供应商。</w:t>
      </w:r>
    </w:p>
    <w:p>
      <w:pPr>
        <w:numPr>
          <w:ilvl w:val="0"/>
          <w:numId w:val="8"/>
        </w:numPr>
        <w:tabs>
          <w:tab w:val="left" w:pos="945"/>
          <w:tab w:val="left" w:pos="1155"/>
          <w:tab w:val="left" w:pos="1260"/>
        </w:tabs>
        <w:spacing w:line="480" w:lineRule="exact"/>
        <w:ind w:left="0" w:firstLine="480"/>
        <w:rPr>
          <w:rFonts w:ascii="宋体" w:hAnsi="宋体"/>
        </w:rPr>
      </w:pPr>
      <w:r>
        <w:rPr>
          <w:rFonts w:hint="eastAsia" w:ascii="宋体" w:hAnsi="宋体"/>
        </w:rPr>
        <w:t>本次政府采购的服务对象为医疗卫生机构，投标人在价格上应予以充分的优惠，提供优质的服务。</w:t>
      </w:r>
    </w:p>
    <w:p>
      <w:pPr>
        <w:spacing w:line="480" w:lineRule="exact"/>
        <w:ind w:firstLine="482"/>
        <w:rPr>
          <w:rFonts w:ascii="宋体" w:hAnsi="宋体"/>
          <w:b/>
          <w:bCs/>
        </w:rPr>
      </w:pPr>
      <w:r>
        <w:rPr>
          <w:rFonts w:hint="eastAsia" w:ascii="宋体" w:hAnsi="宋体"/>
          <w:b/>
          <w:bCs/>
        </w:rPr>
        <w:t>注： “商务要求”中的内容有与“技术要求”中的内容不一致的，以“技术要求”中的要求为准。</w:t>
      </w:r>
    </w:p>
    <w:p>
      <w:pPr>
        <w:widowControl/>
        <w:spacing w:line="240" w:lineRule="auto"/>
        <w:ind w:firstLine="0" w:firstLineChars="0"/>
        <w:jc w:val="left"/>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firstLine="36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0"/>
                      <w:ind w:firstLine="36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82D9C4"/>
    <w:multiLevelType w:val="multilevel"/>
    <w:tmpl w:val="A882D9C4"/>
    <w:lvl w:ilvl="0" w:tentative="0">
      <w:start w:val="1"/>
      <w:numFmt w:val="chineseCounting"/>
      <w:suff w:val="nothing"/>
      <w:lvlText w:val="%1、"/>
      <w:lvlJc w:val="left"/>
      <w:pPr>
        <w:ind w:left="0" w:firstLine="400"/>
      </w:pPr>
      <w:rPr>
        <w:rFonts w:hint="eastAsia"/>
      </w:rPr>
    </w:lvl>
    <w:lvl w:ilvl="1" w:tentative="0">
      <w:start w:val="1"/>
      <w:numFmt w:val="decimal"/>
      <w:suff w:val="nothing"/>
      <w:lvlText w:val="%2．"/>
      <w:lvlJc w:val="left"/>
      <w:pPr>
        <w:ind w:left="0" w:firstLine="400"/>
      </w:pPr>
      <w:rPr>
        <w:rFonts w:hint="eastAsia"/>
      </w:rPr>
    </w:lvl>
    <w:lvl w:ilvl="2" w:tentative="0">
      <w:start w:val="1"/>
      <w:numFmt w:val="decimal"/>
      <w:suff w:val="nothing"/>
      <w:lvlText w:val="（%3）"/>
      <w:lvlJc w:val="left"/>
      <w:pPr>
        <w:ind w:left="0"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low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Roman"/>
      <w:suff w:val="nothing"/>
      <w:lvlText w:val="%8. "/>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1">
    <w:nsid w:val="2BC25E77"/>
    <w:multiLevelType w:val="multilevel"/>
    <w:tmpl w:val="2BC25E77"/>
    <w:lvl w:ilvl="0" w:tentative="0">
      <w:start w:val="1"/>
      <w:numFmt w:val="decimal"/>
      <w:lvlText w:val="%1."/>
      <w:lvlJc w:val="left"/>
      <w:pPr>
        <w:ind w:left="902" w:hanging="420"/>
      </w:pPr>
      <w:rPr>
        <w:rFonts w:hint="eastAsia"/>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2">
    <w:nsid w:val="361DE723"/>
    <w:multiLevelType w:val="singleLevel"/>
    <w:tmpl w:val="361DE723"/>
    <w:lvl w:ilvl="0" w:tentative="0">
      <w:start w:val="1"/>
      <w:numFmt w:val="chineseCounting"/>
      <w:suff w:val="nothing"/>
      <w:lvlText w:val="（%1）"/>
      <w:lvlJc w:val="left"/>
      <w:pPr>
        <w:ind w:left="0" w:firstLine="420"/>
      </w:pPr>
      <w:rPr>
        <w:rFonts w:hint="eastAsia"/>
      </w:rPr>
    </w:lvl>
  </w:abstractNum>
  <w:abstractNum w:abstractNumId="3">
    <w:nsid w:val="37FA2F09"/>
    <w:multiLevelType w:val="multilevel"/>
    <w:tmpl w:val="37FA2F09"/>
    <w:lvl w:ilvl="0" w:tentative="0">
      <w:start w:val="1"/>
      <w:numFmt w:val="decimal"/>
      <w:lvlText w:val="（%1）"/>
      <w:lvlJc w:val="left"/>
      <w:pPr>
        <w:ind w:left="902" w:hanging="420"/>
      </w:pPr>
      <w:rPr>
        <w:rFonts w:hint="eastAsia"/>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4">
    <w:nsid w:val="3BB84911"/>
    <w:multiLevelType w:val="multilevel"/>
    <w:tmpl w:val="3BB84911"/>
    <w:lvl w:ilvl="0" w:tentative="0">
      <w:start w:val="1"/>
      <w:numFmt w:val="decimal"/>
      <w:lvlText w:val="%1."/>
      <w:lvlJc w:val="left"/>
      <w:pPr>
        <w:ind w:left="902" w:hanging="420"/>
      </w:pPr>
      <w:rPr>
        <w:rFonts w:hint="eastAsia"/>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5">
    <w:nsid w:val="3FAA1F43"/>
    <w:multiLevelType w:val="multilevel"/>
    <w:tmpl w:val="3FAA1F43"/>
    <w:lvl w:ilvl="0" w:tentative="0">
      <w:start w:val="1"/>
      <w:numFmt w:val="decimal"/>
      <w:lvlText w:val="%1."/>
      <w:lvlJc w:val="left"/>
      <w:pPr>
        <w:ind w:left="902" w:hanging="420"/>
      </w:pPr>
      <w:rPr>
        <w:rFonts w:hint="eastAsia"/>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6">
    <w:nsid w:val="65E12C85"/>
    <w:multiLevelType w:val="multilevel"/>
    <w:tmpl w:val="65E12C85"/>
    <w:lvl w:ilvl="0" w:tentative="0">
      <w:start w:val="1"/>
      <w:numFmt w:val="decimal"/>
      <w:lvlText w:val="（%1）"/>
      <w:lvlJc w:val="left"/>
      <w:pPr>
        <w:ind w:left="902" w:hanging="420"/>
      </w:pPr>
      <w:rPr>
        <w:rFonts w:hint="eastAsia"/>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7">
    <w:nsid w:val="7E5A1181"/>
    <w:multiLevelType w:val="multilevel"/>
    <w:tmpl w:val="7E5A1181"/>
    <w:lvl w:ilvl="0" w:tentative="0">
      <w:start w:val="1"/>
      <w:numFmt w:val="decimal"/>
      <w:lvlText w:val="%1."/>
      <w:lvlJc w:val="left"/>
      <w:pPr>
        <w:tabs>
          <w:tab w:val="left" w:pos="5322"/>
        </w:tabs>
        <w:ind w:left="5322" w:hanging="360"/>
      </w:pPr>
      <w:rPr>
        <w:rFonts w:hint="default" w:ascii="宋体" w:hAnsi="宋体" w:eastAsia="宋体"/>
        <w:b w:val="0"/>
        <w:color w:val="auto"/>
        <w:sz w:val="24"/>
        <w:szCs w:val="24"/>
      </w:rPr>
    </w:lvl>
    <w:lvl w:ilvl="1" w:tentative="0">
      <w:start w:val="1"/>
      <w:numFmt w:val="japaneseCounting"/>
      <w:lvlText w:val="(%2)"/>
      <w:lvlJc w:val="left"/>
      <w:pPr>
        <w:tabs>
          <w:tab w:val="left" w:pos="885"/>
        </w:tabs>
        <w:ind w:left="885" w:hanging="465"/>
      </w:pPr>
      <w:rPr>
        <w:rFonts w:hint="eastAsia"/>
      </w:rPr>
    </w:lvl>
    <w:lvl w:ilvl="2" w:tentative="0">
      <w:start w:val="1"/>
      <w:numFmt w:val="decimal"/>
      <w:lvlText w:val="（%3）"/>
      <w:lvlJc w:val="left"/>
      <w:pPr>
        <w:tabs>
          <w:tab w:val="left" w:pos="1260"/>
        </w:tabs>
        <w:ind w:left="1260" w:hanging="420"/>
      </w:pPr>
      <w:rPr>
        <w:rFonts w:hint="eastAsia"/>
        <w:color w:val="auto"/>
        <w:sz w:val="24"/>
        <w:szCs w:val="24"/>
      </w:rPr>
    </w:lvl>
    <w:lvl w:ilvl="3" w:tentative="0">
      <w:start w:val="1"/>
      <w:numFmt w:val="decimal"/>
      <w:lvlText w:val="%4."/>
      <w:lvlJc w:val="left"/>
      <w:pPr>
        <w:tabs>
          <w:tab w:val="left" w:pos="1620"/>
        </w:tabs>
        <w:ind w:left="1620" w:hanging="360"/>
      </w:pPr>
      <w:rPr>
        <w:rFonts w:hint="eastAsia" w:ascii="Times New Roman" w:hAnsi="Times New Roman"/>
        <w:b/>
      </w:rPr>
    </w:lvl>
    <w:lvl w:ilvl="4" w:tentative="0">
      <w:start w:val="1"/>
      <w:numFmt w:val="decimal"/>
      <w:lvlText w:val="（%5）"/>
      <w:lvlJc w:val="left"/>
      <w:pPr>
        <w:tabs>
          <w:tab w:val="left" w:pos="2400"/>
        </w:tabs>
        <w:ind w:left="2400" w:hanging="720"/>
      </w:pPr>
      <w:rPr>
        <w:rFonts w:hint="eastAsia" w:ascii="宋体" w:hAnsi="宋体"/>
      </w:rPr>
    </w:lvl>
    <w:lvl w:ilvl="5" w:tentative="0">
      <w:start w:val="1"/>
      <w:numFmt w:val="japaneseCounting"/>
      <w:lvlText w:val="（%6）"/>
      <w:lvlJc w:val="left"/>
      <w:pPr>
        <w:tabs>
          <w:tab w:val="left" w:pos="2955"/>
        </w:tabs>
        <w:ind w:left="2955" w:hanging="855"/>
      </w:pPr>
      <w:rPr>
        <w:rFonts w:hint="eastAsia"/>
        <w:sz w:val="28"/>
      </w:rPr>
    </w:lvl>
    <w:lvl w:ilvl="6" w:tentative="0">
      <w:start w:val="1"/>
      <w:numFmt w:val="lowerLetter"/>
      <w:lvlText w:val="%7、"/>
      <w:lvlJc w:val="left"/>
      <w:pPr>
        <w:tabs>
          <w:tab w:val="left" w:pos="3240"/>
        </w:tabs>
        <w:ind w:left="3240" w:hanging="720"/>
      </w:pPr>
      <w:rPr>
        <w:rFonts w:hint="default"/>
      </w:rPr>
    </w:lvl>
    <w:lvl w:ilvl="7" w:tentative="0">
      <w:start w:val="1"/>
      <w:numFmt w:val="japaneseCounting"/>
      <w:lvlText w:val="%8）"/>
      <w:lvlJc w:val="left"/>
      <w:pPr>
        <w:tabs>
          <w:tab w:val="left" w:pos="3660"/>
        </w:tabs>
        <w:ind w:left="3660" w:hanging="720"/>
      </w:pPr>
      <w:rPr>
        <w:rFonts w:hint="eastAsia"/>
      </w:rPr>
    </w:lvl>
    <w:lvl w:ilvl="8" w:tentative="0">
      <w:start w:val="1"/>
      <w:numFmt w:val="decimal"/>
      <w:lvlText w:val="%9、"/>
      <w:lvlJc w:val="left"/>
      <w:pPr>
        <w:tabs>
          <w:tab w:val="left" w:pos="3720"/>
        </w:tabs>
        <w:ind w:left="3720" w:hanging="360"/>
      </w:pPr>
      <w:rPr>
        <w:rFonts w:hint="default"/>
      </w:rPr>
    </w:lvl>
  </w:abstractNum>
  <w:num w:numId="1">
    <w:abstractNumId w:val="0"/>
  </w:num>
  <w:num w:numId="2">
    <w:abstractNumId w:val="2"/>
  </w:num>
  <w:num w:numId="3">
    <w:abstractNumId w:val="4"/>
  </w:num>
  <w:num w:numId="4">
    <w:abstractNumId w:val="1"/>
  </w:num>
  <w:num w:numId="5">
    <w:abstractNumId w:val="5"/>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3ZjA5OWJiYTdmOGU0NDJkYWJjZDAyYWIwZjZkMmQifQ=="/>
  </w:docVars>
  <w:rsids>
    <w:rsidRoot w:val="77B45379"/>
    <w:rsid w:val="00022B9D"/>
    <w:rsid w:val="00031ECB"/>
    <w:rsid w:val="00041ED4"/>
    <w:rsid w:val="00043DDE"/>
    <w:rsid w:val="000564A5"/>
    <w:rsid w:val="00071BA2"/>
    <w:rsid w:val="00074D61"/>
    <w:rsid w:val="000D0997"/>
    <w:rsid w:val="000D32E1"/>
    <w:rsid w:val="00101A0A"/>
    <w:rsid w:val="001474D5"/>
    <w:rsid w:val="0017719B"/>
    <w:rsid w:val="00192CD2"/>
    <w:rsid w:val="001A0A4B"/>
    <w:rsid w:val="001C7F24"/>
    <w:rsid w:val="001F22B2"/>
    <w:rsid w:val="00255D41"/>
    <w:rsid w:val="00264911"/>
    <w:rsid w:val="00275DDE"/>
    <w:rsid w:val="002A032C"/>
    <w:rsid w:val="002A192F"/>
    <w:rsid w:val="002D7024"/>
    <w:rsid w:val="002D75A6"/>
    <w:rsid w:val="002E01F4"/>
    <w:rsid w:val="002E7219"/>
    <w:rsid w:val="00314B55"/>
    <w:rsid w:val="00345ACA"/>
    <w:rsid w:val="003469E6"/>
    <w:rsid w:val="00346B08"/>
    <w:rsid w:val="00354C1C"/>
    <w:rsid w:val="00354ED3"/>
    <w:rsid w:val="00361AC0"/>
    <w:rsid w:val="00363D61"/>
    <w:rsid w:val="003C2643"/>
    <w:rsid w:val="00421AF8"/>
    <w:rsid w:val="0046750F"/>
    <w:rsid w:val="00493110"/>
    <w:rsid w:val="0055142A"/>
    <w:rsid w:val="00573D0D"/>
    <w:rsid w:val="005C12D0"/>
    <w:rsid w:val="005E488D"/>
    <w:rsid w:val="00604091"/>
    <w:rsid w:val="00622532"/>
    <w:rsid w:val="006A6E8F"/>
    <w:rsid w:val="006C7A39"/>
    <w:rsid w:val="006F1617"/>
    <w:rsid w:val="006F708B"/>
    <w:rsid w:val="00701CCE"/>
    <w:rsid w:val="00716247"/>
    <w:rsid w:val="0072649F"/>
    <w:rsid w:val="0075516F"/>
    <w:rsid w:val="00757DF1"/>
    <w:rsid w:val="00762377"/>
    <w:rsid w:val="00774314"/>
    <w:rsid w:val="007B040E"/>
    <w:rsid w:val="007E3803"/>
    <w:rsid w:val="0085095C"/>
    <w:rsid w:val="00877BA2"/>
    <w:rsid w:val="008822F6"/>
    <w:rsid w:val="00882445"/>
    <w:rsid w:val="00884249"/>
    <w:rsid w:val="008854CF"/>
    <w:rsid w:val="0088779C"/>
    <w:rsid w:val="008F3F00"/>
    <w:rsid w:val="00901FFD"/>
    <w:rsid w:val="00977F46"/>
    <w:rsid w:val="00980C3A"/>
    <w:rsid w:val="0098692F"/>
    <w:rsid w:val="00A6158F"/>
    <w:rsid w:val="00A70E1B"/>
    <w:rsid w:val="00AD781A"/>
    <w:rsid w:val="00AD7C45"/>
    <w:rsid w:val="00B3663C"/>
    <w:rsid w:val="00B624CF"/>
    <w:rsid w:val="00C562F4"/>
    <w:rsid w:val="00CC4F12"/>
    <w:rsid w:val="00CC7697"/>
    <w:rsid w:val="00CE2AA6"/>
    <w:rsid w:val="00CF225D"/>
    <w:rsid w:val="00CF5FCE"/>
    <w:rsid w:val="00D34370"/>
    <w:rsid w:val="00D7359C"/>
    <w:rsid w:val="00D8309A"/>
    <w:rsid w:val="00DB06BF"/>
    <w:rsid w:val="00DD2351"/>
    <w:rsid w:val="00DE4ADF"/>
    <w:rsid w:val="00E016F8"/>
    <w:rsid w:val="00E064ED"/>
    <w:rsid w:val="00E473AF"/>
    <w:rsid w:val="00E6646E"/>
    <w:rsid w:val="00E76BAA"/>
    <w:rsid w:val="00E815DE"/>
    <w:rsid w:val="00EA1524"/>
    <w:rsid w:val="00EF6F90"/>
    <w:rsid w:val="00F21CA5"/>
    <w:rsid w:val="00F5290A"/>
    <w:rsid w:val="00F53780"/>
    <w:rsid w:val="00F65123"/>
    <w:rsid w:val="00F824CA"/>
    <w:rsid w:val="00FA20B2"/>
    <w:rsid w:val="00FA7E32"/>
    <w:rsid w:val="00FB3761"/>
    <w:rsid w:val="00FE3353"/>
    <w:rsid w:val="023C3C91"/>
    <w:rsid w:val="029D33DC"/>
    <w:rsid w:val="02BB16AA"/>
    <w:rsid w:val="06D66B7C"/>
    <w:rsid w:val="096D58B6"/>
    <w:rsid w:val="09D05E45"/>
    <w:rsid w:val="0A0362C2"/>
    <w:rsid w:val="0B130E85"/>
    <w:rsid w:val="0BB579E9"/>
    <w:rsid w:val="0C13298A"/>
    <w:rsid w:val="10366B7F"/>
    <w:rsid w:val="11F932F4"/>
    <w:rsid w:val="12166976"/>
    <w:rsid w:val="12883172"/>
    <w:rsid w:val="13CF6400"/>
    <w:rsid w:val="15621B84"/>
    <w:rsid w:val="179130B8"/>
    <w:rsid w:val="182C5F55"/>
    <w:rsid w:val="18C92A76"/>
    <w:rsid w:val="18F65112"/>
    <w:rsid w:val="19611118"/>
    <w:rsid w:val="19B94195"/>
    <w:rsid w:val="19FC4035"/>
    <w:rsid w:val="1A126456"/>
    <w:rsid w:val="1AD63741"/>
    <w:rsid w:val="1B391FAB"/>
    <w:rsid w:val="1D4302A6"/>
    <w:rsid w:val="1ED67123"/>
    <w:rsid w:val="21A91C9B"/>
    <w:rsid w:val="23FF75FB"/>
    <w:rsid w:val="24D40BB2"/>
    <w:rsid w:val="25C66622"/>
    <w:rsid w:val="25F57A81"/>
    <w:rsid w:val="28010E6E"/>
    <w:rsid w:val="28AF339E"/>
    <w:rsid w:val="2B6D1B92"/>
    <w:rsid w:val="2BE2032F"/>
    <w:rsid w:val="2E3305CD"/>
    <w:rsid w:val="31F943E1"/>
    <w:rsid w:val="33687B18"/>
    <w:rsid w:val="37EA7837"/>
    <w:rsid w:val="3A4B5D4F"/>
    <w:rsid w:val="3B381128"/>
    <w:rsid w:val="3B914366"/>
    <w:rsid w:val="3E7C71CC"/>
    <w:rsid w:val="3F00274D"/>
    <w:rsid w:val="40754A75"/>
    <w:rsid w:val="40B75483"/>
    <w:rsid w:val="41DD0B24"/>
    <w:rsid w:val="43864957"/>
    <w:rsid w:val="450F36EA"/>
    <w:rsid w:val="47EC05B3"/>
    <w:rsid w:val="488A269D"/>
    <w:rsid w:val="496250F9"/>
    <w:rsid w:val="4A3D5020"/>
    <w:rsid w:val="4B5B40EB"/>
    <w:rsid w:val="4C7023E9"/>
    <w:rsid w:val="4EA10B4A"/>
    <w:rsid w:val="4F417A4B"/>
    <w:rsid w:val="4F873500"/>
    <w:rsid w:val="4FD32922"/>
    <w:rsid w:val="512D2119"/>
    <w:rsid w:val="52F04CF4"/>
    <w:rsid w:val="53295857"/>
    <w:rsid w:val="53535C5A"/>
    <w:rsid w:val="54177886"/>
    <w:rsid w:val="56486A5C"/>
    <w:rsid w:val="566F134E"/>
    <w:rsid w:val="582F0A4C"/>
    <w:rsid w:val="5A6D7D82"/>
    <w:rsid w:val="5A9A2DB1"/>
    <w:rsid w:val="5AC76DF7"/>
    <w:rsid w:val="5AE605F2"/>
    <w:rsid w:val="5C1949F7"/>
    <w:rsid w:val="5DFC1EDA"/>
    <w:rsid w:val="6229531A"/>
    <w:rsid w:val="62CD31F0"/>
    <w:rsid w:val="666A0801"/>
    <w:rsid w:val="68B1252F"/>
    <w:rsid w:val="6A0849AF"/>
    <w:rsid w:val="6A815595"/>
    <w:rsid w:val="6ABF3989"/>
    <w:rsid w:val="6D791CBB"/>
    <w:rsid w:val="6D9B213C"/>
    <w:rsid w:val="6E8F1EF9"/>
    <w:rsid w:val="6E950107"/>
    <w:rsid w:val="6F413A1B"/>
    <w:rsid w:val="6F447C73"/>
    <w:rsid w:val="6FE63EF7"/>
    <w:rsid w:val="704158AD"/>
    <w:rsid w:val="736A5E0C"/>
    <w:rsid w:val="74CC2146"/>
    <w:rsid w:val="77B45379"/>
    <w:rsid w:val="781D390D"/>
    <w:rsid w:val="78C53CA2"/>
    <w:rsid w:val="791A2E2C"/>
    <w:rsid w:val="7AE92B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643" w:firstLineChars="200"/>
      <w:jc w:val="both"/>
    </w:pPr>
    <w:rPr>
      <w:rFonts w:eastAsia="宋体" w:asciiTheme="minorHAnsi" w:hAnsiTheme="minorHAnsi" w:cstheme="minorBidi"/>
      <w:kern w:val="2"/>
      <w:sz w:val="24"/>
      <w:szCs w:val="24"/>
      <w:lang w:val="en-US" w:eastAsia="zh-CN" w:bidi="ar-SA"/>
    </w:rPr>
  </w:style>
  <w:style w:type="paragraph" w:styleId="2">
    <w:name w:val="heading 1"/>
    <w:basedOn w:val="3"/>
    <w:next w:val="1"/>
    <w:qFormat/>
    <w:uiPriority w:val="0"/>
    <w:pPr>
      <w:spacing w:before="340" w:after="330" w:line="576" w:lineRule="auto"/>
      <w:outlineLvl w:val="0"/>
    </w:pPr>
    <w:rPr>
      <w:kern w:val="44"/>
      <w:sz w:val="44"/>
    </w:rPr>
  </w:style>
  <w:style w:type="paragraph" w:styleId="4">
    <w:name w:val="heading 2"/>
    <w:basedOn w:val="1"/>
    <w:next w:val="1"/>
    <w:qFormat/>
    <w:uiPriority w:val="0"/>
    <w:pPr>
      <w:keepNext/>
      <w:keepLines/>
      <w:autoSpaceDE w:val="0"/>
      <w:autoSpaceDN w:val="0"/>
      <w:adjustRightInd w:val="0"/>
      <w:spacing w:before="100" w:after="100"/>
      <w:ind w:firstLine="0" w:firstLineChars="0"/>
      <w:jc w:val="left"/>
      <w:textAlignment w:val="baseline"/>
      <w:outlineLvl w:val="1"/>
    </w:pPr>
    <w:rPr>
      <w:rFonts w:ascii="仿宋_GB2312" w:hAnsi="Arial"/>
      <w:b/>
      <w:kern w:val="0"/>
      <w:sz w:val="28"/>
      <w:szCs w:val="20"/>
    </w:rPr>
  </w:style>
  <w:style w:type="paragraph" w:styleId="3">
    <w:name w:val="heading 3"/>
    <w:basedOn w:val="1"/>
    <w:next w:val="1"/>
    <w:unhideWhenUsed/>
    <w:qFormat/>
    <w:uiPriority w:val="0"/>
    <w:pPr>
      <w:keepNext/>
      <w:keepLines/>
      <w:spacing w:before="100" w:after="100"/>
      <w:ind w:firstLine="200"/>
      <w:jc w:val="left"/>
      <w:outlineLvl w:val="2"/>
    </w:pPr>
    <w:rPr>
      <w:b/>
      <w:sz w:val="28"/>
    </w:rPr>
  </w:style>
  <w:style w:type="paragraph" w:styleId="5">
    <w:name w:val="heading 4"/>
    <w:basedOn w:val="1"/>
    <w:next w:val="1"/>
    <w:link w:val="16"/>
    <w:unhideWhenUsed/>
    <w:qFormat/>
    <w:uiPriority w:val="0"/>
    <w:pPr>
      <w:keepNext/>
      <w:keepLines/>
      <w:spacing w:before="100" w:after="100"/>
      <w:ind w:firstLine="200"/>
      <w:outlineLvl w:val="3"/>
    </w:pPr>
    <w:rPr>
      <w:rFonts w:asciiTheme="majorHAnsi" w:hAnsiTheme="majorHAnsi" w:eastAsiaTheme="majorEastAsia" w:cstheme="majorBidi"/>
      <w:b/>
      <w:bCs/>
      <w:szCs w:val="28"/>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6">
    <w:name w:val="Normal Indent"/>
    <w:basedOn w:val="1"/>
    <w:qFormat/>
    <w:uiPriority w:val="0"/>
    <w:pPr>
      <w:autoSpaceDE w:val="0"/>
      <w:autoSpaceDN w:val="0"/>
      <w:adjustRightInd w:val="0"/>
      <w:ind w:firstLine="420"/>
      <w:jc w:val="left"/>
      <w:textAlignment w:val="baseline"/>
    </w:pPr>
    <w:rPr>
      <w:rFonts w:ascii="宋体"/>
      <w:kern w:val="0"/>
      <w:sz w:val="34"/>
      <w:szCs w:val="20"/>
    </w:rPr>
  </w:style>
  <w:style w:type="paragraph" w:styleId="7">
    <w:name w:val="annotation text"/>
    <w:basedOn w:val="1"/>
    <w:qFormat/>
    <w:uiPriority w:val="0"/>
    <w:pPr>
      <w:jc w:val="left"/>
    </w:pPr>
  </w:style>
  <w:style w:type="paragraph" w:styleId="8">
    <w:name w:val="Body Text Indent"/>
    <w:basedOn w:val="1"/>
    <w:semiHidden/>
    <w:unhideWhenUsed/>
    <w:qFormat/>
    <w:uiPriority w:val="99"/>
    <w:pPr>
      <w:spacing w:after="120"/>
      <w:ind w:left="420" w:leftChars="200"/>
    </w:pPr>
  </w:style>
  <w:style w:type="paragraph" w:styleId="9">
    <w:name w:val="Plain Text"/>
    <w:basedOn w:val="1"/>
    <w:link w:val="20"/>
    <w:qFormat/>
    <w:uiPriority w:val="99"/>
    <w:rPr>
      <w:rFonts w:ascii="宋体" w:hAnsi="Courier New"/>
      <w:szCs w:val="20"/>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Body Text First Indent 2"/>
    <w:basedOn w:val="8"/>
    <w:unhideWhenUsed/>
    <w:qFormat/>
    <w:uiPriority w:val="99"/>
    <w:pPr>
      <w:ind w:left="0" w:leftChars="0" w:firstLine="420"/>
    </w:pPr>
    <w:rPr>
      <w:rFonts w:ascii="仿宋" w:hAnsi="仿宋" w:cs="仿宋"/>
      <w:lang w:val="zh-CN" w:bidi="zh-CN"/>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
    <w:name w:val="标题 4 字符"/>
    <w:basedOn w:val="15"/>
    <w:link w:val="5"/>
    <w:qFormat/>
    <w:uiPriority w:val="0"/>
    <w:rPr>
      <w:rFonts w:asciiTheme="majorHAnsi" w:hAnsiTheme="majorHAnsi" w:eastAsiaTheme="majorEastAsia" w:cstheme="majorBidi"/>
      <w:b/>
      <w:bCs/>
      <w:kern w:val="2"/>
      <w:sz w:val="24"/>
      <w:szCs w:val="28"/>
    </w:rPr>
  </w:style>
  <w:style w:type="paragraph" w:customStyle="1" w:styleId="17">
    <w:name w:val="表格文字"/>
    <w:basedOn w:val="1"/>
    <w:qFormat/>
    <w:uiPriority w:val="0"/>
    <w:pPr>
      <w:spacing w:before="25" w:after="25"/>
      <w:jc w:val="left"/>
    </w:pPr>
    <w:rPr>
      <w:rFonts w:ascii="Times New Roman" w:hAnsi="Times New Roman"/>
      <w:bCs/>
      <w:spacing w:val="10"/>
      <w:kern w:val="0"/>
      <w:szCs w:val="20"/>
    </w:rPr>
  </w:style>
  <w:style w:type="paragraph" w:customStyle="1" w:styleId="18">
    <w:name w:val="Table Paragraph"/>
    <w:basedOn w:val="1"/>
    <w:qFormat/>
    <w:uiPriority w:val="1"/>
    <w:rPr>
      <w:rFonts w:ascii="宋体" w:hAnsi="宋体" w:cs="宋体"/>
      <w:lang w:val="zh-CN" w:bidi="zh-CN"/>
    </w:rPr>
  </w:style>
  <w:style w:type="paragraph" w:customStyle="1" w:styleId="19">
    <w:name w:val="修订1"/>
    <w:hidden/>
    <w:semiHidden/>
    <w:qFormat/>
    <w:uiPriority w:val="99"/>
    <w:rPr>
      <w:rFonts w:eastAsia="宋体" w:asciiTheme="minorHAnsi" w:hAnsiTheme="minorHAnsi" w:cstheme="minorBidi"/>
      <w:kern w:val="2"/>
      <w:sz w:val="24"/>
      <w:szCs w:val="24"/>
      <w:lang w:val="en-US" w:eastAsia="zh-CN" w:bidi="ar-SA"/>
    </w:rPr>
  </w:style>
  <w:style w:type="character" w:customStyle="1" w:styleId="20">
    <w:name w:val="纯文本 字符"/>
    <w:basedOn w:val="15"/>
    <w:link w:val="9"/>
    <w:qFormat/>
    <w:uiPriority w:val="99"/>
    <w:rPr>
      <w:rFonts w:ascii="宋体" w:hAnsi="Courier New" w:cstheme="minorBidi"/>
      <w:kern w:val="2"/>
      <w:sz w:val="24"/>
    </w:rPr>
  </w:style>
  <w:style w:type="paragraph" w:styleId="21">
    <w:name w:val="List Paragraph"/>
    <w:basedOn w:val="1"/>
    <w:qFormat/>
    <w:uiPriority w:val="99"/>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CAE2BB-EFE4-475B-88EE-E2514C9235B3}">
  <ds:schemaRefs/>
</ds:datastoreItem>
</file>

<file path=docProps/app.xml><?xml version="1.0" encoding="utf-8"?>
<Properties xmlns="http://schemas.openxmlformats.org/officeDocument/2006/extended-properties" xmlns:vt="http://schemas.openxmlformats.org/officeDocument/2006/docPropsVTypes">
  <Template>Normal.dotm</Template>
  <Pages>15</Pages>
  <Words>8733</Words>
  <Characters>8957</Characters>
  <Lines>65</Lines>
  <Paragraphs>18</Paragraphs>
  <TotalTime>12</TotalTime>
  <ScaleCrop>false</ScaleCrop>
  <LinksUpToDate>false</LinksUpToDate>
  <CharactersWithSpaces>8962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2022-11-08T02:56:00Z</dcterms:created>
  <dc:creator>liaojf</dc:creator>
  <cp:lastModifiedBy>游龙跃</cp:lastModifiedBy>
  <dcterms:modified xsi:type="dcterms:W3CDTF">2023-01-06T03:30:28Z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EF0213B4B0124789A7D4D7EE160D4745</vt:lpwstr>
  </property>
</Properties>
</file>