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default" w:ascii="仿宋" w:hAnsi="仿宋" w:eastAsia="仿宋" w:cs="仿宋"/>
          <w:b/>
          <w:bCs/>
          <w:color w:val="auto"/>
          <w:sz w:val="48"/>
          <w:szCs w:val="48"/>
          <w:highlight w:val="none"/>
          <w:lang w:val="en-US"/>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color w:val="auto"/>
          <w:sz w:val="48"/>
          <w:szCs w:val="48"/>
          <w:highlight w:val="none"/>
          <w:lang w:val="en-US" w:eastAsia="zh-CN"/>
        </w:rPr>
        <w:t>彩超心脏探头</w:t>
      </w:r>
    </w:p>
    <w:p>
      <w:pPr>
        <w:pStyle w:val="10"/>
        <w:rPr>
          <w:rFonts w:hint="eastAsia" w:ascii="仿宋" w:hAnsi="仿宋" w:eastAsia="仿宋" w:cs="仿宋"/>
          <w:color w:val="auto"/>
          <w:highlight w:val="none"/>
        </w:rPr>
      </w:pP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二</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 xml:space="preserve">  </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 xml:space="preserve">  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10"/>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4"/>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16</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19</w:t>
      </w:r>
    </w:p>
    <w:p>
      <w:pPr>
        <w:pStyle w:val="14"/>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3"/>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4"/>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2"/>
        <w:rPr>
          <w:rFonts w:hint="eastAsia" w:ascii="仿宋" w:hAnsi="仿宋" w:eastAsia="仿宋" w:cs="仿宋"/>
          <w:color w:val="auto"/>
          <w:highlight w:val="none"/>
        </w:rPr>
        <w:sectPr>
          <w:headerReference r:id="rId3" w:type="default"/>
          <w:pgSz w:w="11906" w:h="16838"/>
          <w:pgMar w:top="1440" w:right="1797" w:bottom="1440" w:left="1797" w:header="851" w:footer="992" w:gutter="0"/>
          <w:pgNumType w:start="1"/>
          <w:cols w:space="720" w:num="1"/>
          <w:docGrid w:type="lines" w:linePitch="312" w:charSpace="0"/>
        </w:sectPr>
      </w:pPr>
    </w:p>
    <w:p>
      <w:pPr>
        <w:pStyle w:val="4"/>
        <w:spacing w:before="0" w:after="0" w:line="240" w:lineRule="auto"/>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第一章  </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0"/>
    </w:p>
    <w:p>
      <w:pPr>
        <w:pStyle w:val="5"/>
        <w:numPr>
          <w:ilvl w:val="0"/>
          <w:numId w:val="1"/>
        </w:numPr>
        <w:spacing w:line="240" w:lineRule="auto"/>
        <w:ind w:firstLine="2869" w:firstLineChars="893"/>
        <w:jc w:val="both"/>
        <w:rPr>
          <w:rFonts w:hint="eastAsia" w:ascii="仿宋" w:hAnsi="仿宋" w:eastAsia="仿宋" w:cs="仿宋"/>
          <w:color w:val="auto"/>
          <w:kern w:val="0"/>
          <w:highlight w:val="none"/>
        </w:rPr>
      </w:pPr>
      <w:bookmarkStart w:id="1" w:name="_Hlt509650027"/>
      <w:bookmarkEnd w:id="1"/>
      <w:bookmarkStart w:id="2" w:name="_Hlt519045778"/>
      <w:bookmarkEnd w:id="2"/>
      <w:bookmarkStart w:id="3" w:name="_Toc15246"/>
      <w:r>
        <w:rPr>
          <w:rFonts w:hint="eastAsia" w:ascii="仿宋" w:hAnsi="仿宋" w:eastAsia="仿宋" w:cs="仿宋"/>
          <w:color w:val="auto"/>
          <w:kern w:val="0"/>
          <w:highlight w:val="none"/>
          <w:lang w:eastAsia="zh-CN"/>
        </w:rPr>
        <w:t>谈判</w:t>
      </w:r>
      <w:r>
        <w:rPr>
          <w:rFonts w:hint="eastAsia" w:ascii="仿宋" w:hAnsi="仿宋" w:eastAsia="仿宋" w:cs="仿宋"/>
          <w:color w:val="auto"/>
          <w:kern w:val="0"/>
          <w:highlight w:val="none"/>
        </w:rPr>
        <w:t>邀请</w:t>
      </w:r>
      <w:bookmarkEnd w:id="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120" w:firstLineChars="400"/>
        <w:jc w:val="left"/>
        <w:rPr>
          <w:rFonts w:hint="eastAsia" w:ascii="仿宋" w:hAnsi="仿宋" w:eastAsia="仿宋" w:cs="仿宋"/>
          <w:i w:val="0"/>
          <w:iCs w:val="0"/>
          <w:caps w:val="0"/>
          <w:color w:val="auto"/>
          <w:spacing w:val="0"/>
          <w:sz w:val="28"/>
          <w:szCs w:val="28"/>
          <w:highlight w:val="none"/>
        </w:rPr>
      </w:pPr>
      <w:r>
        <w:rPr>
          <w:rFonts w:hint="eastAsia" w:ascii="仿宋" w:hAnsi="仿宋" w:eastAsia="仿宋" w:cs="仿宋"/>
          <w:i w:val="0"/>
          <w:iCs w:val="0"/>
          <w:caps w:val="0"/>
          <w:color w:val="auto"/>
          <w:spacing w:val="0"/>
          <w:kern w:val="0"/>
          <w:sz w:val="28"/>
          <w:szCs w:val="28"/>
          <w:highlight w:val="none"/>
          <w:lang w:val="en-US" w:eastAsia="zh-CN" w:bidi="ar"/>
        </w:rPr>
        <w:t>赣州市肿瘤医院就彩超心脏探头项目进行竞争性谈判，现欢迎符合资格条件的供应商前来参加。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default" w:ascii="仿宋" w:hAnsi="仿宋" w:eastAsia="仿宋" w:cs="仿宋"/>
          <w:color w:val="auto"/>
          <w:sz w:val="28"/>
          <w:szCs w:val="28"/>
          <w:highlight w:val="none"/>
          <w:lang w:val="en-US" w:eastAsia="zh-CN"/>
        </w:rPr>
      </w:pPr>
      <w:r>
        <w:rPr>
          <w:rStyle w:val="20"/>
          <w:rFonts w:hint="eastAsia" w:ascii="仿宋" w:hAnsi="仿宋" w:eastAsia="仿宋" w:cs="仿宋"/>
          <w:b/>
          <w:bCs/>
          <w:i w:val="0"/>
          <w:iCs w:val="0"/>
          <w:caps w:val="0"/>
          <w:color w:val="auto"/>
          <w:spacing w:val="0"/>
          <w:sz w:val="28"/>
          <w:szCs w:val="28"/>
          <w:highlight w:val="none"/>
          <w:lang w:val="en-US" w:eastAsia="zh-CN"/>
        </w:rPr>
        <w:t>一、</w:t>
      </w:r>
      <w:r>
        <w:rPr>
          <w:rStyle w:val="20"/>
          <w:rFonts w:hint="eastAsia" w:ascii="仿宋" w:hAnsi="仿宋" w:eastAsia="仿宋" w:cs="仿宋"/>
          <w:b/>
          <w:bCs/>
          <w:i w:val="0"/>
          <w:iCs w:val="0"/>
          <w:caps w:val="0"/>
          <w:color w:val="auto"/>
          <w:spacing w:val="0"/>
          <w:sz w:val="28"/>
          <w:szCs w:val="28"/>
          <w:highlight w:val="none"/>
        </w:rPr>
        <w:t>项目编号：</w:t>
      </w:r>
      <w:r>
        <w:rPr>
          <w:rFonts w:hint="eastAsia" w:ascii="仿宋" w:hAnsi="仿宋" w:eastAsia="仿宋" w:cs="仿宋"/>
          <w:i w:val="0"/>
          <w:iCs w:val="0"/>
          <w:caps w:val="0"/>
          <w:color w:val="auto"/>
          <w:spacing w:val="0"/>
          <w:sz w:val="28"/>
          <w:szCs w:val="28"/>
          <w:highlight w:val="none"/>
          <w:lang w:val="en-US" w:eastAsia="zh-CN"/>
        </w:rPr>
        <w:t>SB2022-1104</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采购方式：</w:t>
      </w:r>
      <w:r>
        <w:rPr>
          <w:rFonts w:hint="eastAsia" w:ascii="仿宋" w:hAnsi="仿宋" w:eastAsia="仿宋" w:cs="仿宋"/>
          <w:i w:val="0"/>
          <w:iCs w:val="0"/>
          <w:caps w:val="0"/>
          <w:color w:val="auto"/>
          <w:spacing w:val="0"/>
          <w:kern w:val="0"/>
          <w:sz w:val="28"/>
          <w:szCs w:val="28"/>
          <w:highlight w:val="none"/>
          <w:lang w:val="en-US" w:eastAsia="zh-CN" w:bidi="ar"/>
        </w:rPr>
        <w:t>竞争性谈判</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三、采购内容：</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2409"/>
        <w:gridCol w:w="1553"/>
        <w:gridCol w:w="1570"/>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序号</w:t>
            </w:r>
          </w:p>
        </w:tc>
        <w:tc>
          <w:tcPr>
            <w:tcW w:w="2409"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货物名称</w:t>
            </w:r>
          </w:p>
        </w:tc>
        <w:tc>
          <w:tcPr>
            <w:tcW w:w="1553"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数量</w:t>
            </w:r>
          </w:p>
        </w:tc>
        <w:tc>
          <w:tcPr>
            <w:tcW w:w="1570"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预算金额（元）</w:t>
            </w:r>
          </w:p>
        </w:tc>
        <w:tc>
          <w:tcPr>
            <w:tcW w:w="1991"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1</w:t>
            </w:r>
          </w:p>
        </w:tc>
        <w:tc>
          <w:tcPr>
            <w:tcW w:w="2409"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彩超心脏探头</w:t>
            </w:r>
          </w:p>
        </w:tc>
        <w:tc>
          <w:tcPr>
            <w:tcW w:w="1553"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1把</w:t>
            </w:r>
          </w:p>
        </w:tc>
        <w:tc>
          <w:tcPr>
            <w:tcW w:w="1570"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56000.00</w:t>
            </w:r>
          </w:p>
        </w:tc>
        <w:tc>
          <w:tcPr>
            <w:tcW w:w="1991"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highlight w:val="none"/>
                <w:vertAlign w:val="baseline"/>
                <w:lang w:val="en-US" w:eastAsia="zh-CN" w:bidi="ar"/>
              </w:rPr>
            </w:pPr>
            <w:r>
              <w:rPr>
                <w:rFonts w:hint="eastAsia" w:ascii="仿宋" w:hAnsi="仿宋" w:eastAsia="仿宋" w:cs="仿宋"/>
                <w:i w:val="0"/>
                <w:iCs w:val="0"/>
                <w:caps w:val="0"/>
                <w:color w:val="auto"/>
                <w:spacing w:val="0"/>
                <w:kern w:val="0"/>
                <w:sz w:val="28"/>
                <w:szCs w:val="28"/>
                <w:highlight w:val="none"/>
                <w:vertAlign w:val="baseline"/>
                <w:lang w:val="en-US" w:eastAsia="zh-CN" w:bidi="ar"/>
              </w:rPr>
              <w:t>详见采购需求</w:t>
            </w:r>
          </w:p>
        </w:tc>
      </w:tr>
    </w:tbl>
    <w:p>
      <w:pPr>
        <w:numPr>
          <w:ilvl w:val="0"/>
          <w:numId w:val="0"/>
        </w:numPr>
        <w:ind w:leftChars="0"/>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四、谈判方式：</w:t>
      </w:r>
    </w:p>
    <w:p>
      <w:pPr>
        <w:numPr>
          <w:ilvl w:val="0"/>
          <w:numId w:val="0"/>
        </w:numPr>
        <w:ind w:leftChars="0" w:firstLine="560" w:firstLineChars="200"/>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本项目为整体打包，不接受单一或部分品目报价。不接受联合体响应。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在没有修正参数的前提下，最终报价（二次报价）不得高于第一次报价。谈判顺序由报名顺序决定。</w:t>
      </w:r>
    </w:p>
    <w:p>
      <w:pPr>
        <w:numPr>
          <w:ilvl w:val="0"/>
          <w:numId w:val="0"/>
        </w:numPr>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五、响应供应商的资格要求：</w:t>
      </w:r>
    </w:p>
    <w:p>
      <w:pPr>
        <w:ind w:left="559" w:leftChars="266" w:firstLine="0" w:firstLineChars="0"/>
        <w:rPr>
          <w:rFonts w:hint="eastAsia" w:ascii="仿宋" w:hAnsi="仿宋" w:eastAsia="仿宋" w:cs="仿宋"/>
          <w:i w:val="0"/>
          <w:iCs w:val="0"/>
          <w:caps w:val="0"/>
          <w:color w:val="auto"/>
          <w:spacing w:val="0"/>
          <w:sz w:val="28"/>
          <w:szCs w:val="28"/>
          <w:highlight w:val="none"/>
          <w:lang w:eastAsia="zh-CN"/>
        </w:rPr>
      </w:pPr>
      <w:r>
        <w:rPr>
          <w:rFonts w:hint="eastAsia" w:ascii="仿宋" w:hAnsi="仿宋" w:eastAsia="仿宋" w:cs="仿宋"/>
          <w:i w:val="0"/>
          <w:iCs w:val="0"/>
          <w:caps w:val="0"/>
          <w:color w:val="auto"/>
          <w:spacing w:val="0"/>
          <w:sz w:val="28"/>
          <w:szCs w:val="28"/>
          <w:highlight w:val="none"/>
          <w:lang w:val="en-US" w:eastAsia="zh-CN"/>
        </w:rPr>
        <w:t>1、</w:t>
      </w:r>
      <w:r>
        <w:rPr>
          <w:rFonts w:hint="eastAsia" w:ascii="仿宋" w:hAnsi="仿宋" w:eastAsia="仿宋" w:cs="仿宋"/>
          <w:i w:val="0"/>
          <w:iCs w:val="0"/>
          <w:caps w:val="0"/>
          <w:color w:val="auto"/>
          <w:spacing w:val="0"/>
          <w:sz w:val="28"/>
          <w:szCs w:val="28"/>
          <w:highlight w:val="none"/>
        </w:rPr>
        <w:t>具有独立承担民事责任的能力；</w:t>
      </w:r>
    </w:p>
    <w:p>
      <w:pPr>
        <w:ind w:left="559" w:leftChars="266" w:firstLine="0" w:firstLineChars="0"/>
        <w:rPr>
          <w:rFonts w:hint="eastAsia" w:ascii="仿宋" w:hAnsi="仿宋" w:eastAsia="仿宋" w:cs="仿宋"/>
          <w:i w:val="0"/>
          <w:iCs w:val="0"/>
          <w:caps w:val="0"/>
          <w:color w:val="auto"/>
          <w:spacing w:val="0"/>
          <w:sz w:val="28"/>
          <w:szCs w:val="28"/>
          <w:highlight w:val="none"/>
          <w:lang w:eastAsia="zh-CN"/>
        </w:rPr>
      </w:pPr>
      <w:r>
        <w:rPr>
          <w:rFonts w:hint="eastAsia" w:ascii="仿宋" w:hAnsi="仿宋" w:eastAsia="仿宋" w:cs="仿宋"/>
          <w:i w:val="0"/>
          <w:iCs w:val="0"/>
          <w:caps w:val="0"/>
          <w:color w:val="auto"/>
          <w:spacing w:val="0"/>
          <w:sz w:val="28"/>
          <w:szCs w:val="28"/>
          <w:highlight w:val="none"/>
          <w:lang w:val="en-US" w:eastAsia="zh-CN"/>
        </w:rPr>
        <w:t>2、</w:t>
      </w:r>
      <w:r>
        <w:rPr>
          <w:rFonts w:hint="eastAsia" w:ascii="仿宋" w:hAnsi="仿宋" w:eastAsia="仿宋" w:cs="仿宋"/>
          <w:i w:val="0"/>
          <w:iCs w:val="0"/>
          <w:caps w:val="0"/>
          <w:color w:val="auto"/>
          <w:spacing w:val="0"/>
          <w:sz w:val="28"/>
          <w:szCs w:val="28"/>
          <w:highlight w:val="none"/>
        </w:rPr>
        <w:t>具有履行合同所必需的设备和专业技术能力；</w:t>
      </w:r>
    </w:p>
    <w:p>
      <w:pPr>
        <w:ind w:left="559" w:leftChars="266" w:firstLine="0" w:firstLineChars="0"/>
        <w:rPr>
          <w:rFonts w:hint="eastAsia" w:ascii="仿宋" w:hAnsi="仿宋" w:eastAsia="仿宋" w:cs="仿宋"/>
          <w:i w:val="0"/>
          <w:iCs w:val="0"/>
          <w:caps w:val="0"/>
          <w:color w:val="auto"/>
          <w:spacing w:val="0"/>
          <w:sz w:val="28"/>
          <w:szCs w:val="28"/>
          <w:highlight w:val="none"/>
          <w:lang w:eastAsia="zh-CN"/>
        </w:rPr>
      </w:pPr>
      <w:r>
        <w:rPr>
          <w:rFonts w:hint="eastAsia" w:ascii="仿宋" w:hAnsi="仿宋" w:eastAsia="仿宋" w:cs="仿宋"/>
          <w:i w:val="0"/>
          <w:iCs w:val="0"/>
          <w:caps w:val="0"/>
          <w:color w:val="auto"/>
          <w:spacing w:val="0"/>
          <w:sz w:val="28"/>
          <w:szCs w:val="28"/>
          <w:highlight w:val="none"/>
          <w:lang w:val="en-US" w:eastAsia="zh-CN"/>
        </w:rPr>
        <w:t>3、</w:t>
      </w:r>
      <w:r>
        <w:rPr>
          <w:rFonts w:hint="eastAsia" w:ascii="仿宋" w:hAnsi="仿宋" w:eastAsia="仿宋" w:cs="仿宋"/>
          <w:i w:val="0"/>
          <w:iCs w:val="0"/>
          <w:caps w:val="0"/>
          <w:color w:val="auto"/>
          <w:spacing w:val="0"/>
          <w:sz w:val="28"/>
          <w:szCs w:val="28"/>
          <w:highlight w:val="none"/>
        </w:rPr>
        <w:t>有依法缴纳税收和社会保障资金的良好记录；</w:t>
      </w:r>
    </w:p>
    <w:p>
      <w:pPr>
        <w:ind w:left="559" w:leftChars="266" w:firstLine="0" w:firstLineChars="0"/>
        <w:rPr>
          <w:rFonts w:hint="eastAsia" w:ascii="仿宋" w:hAnsi="仿宋" w:eastAsia="仿宋" w:cs="仿宋"/>
          <w:i w:val="0"/>
          <w:iCs w:val="0"/>
          <w:caps w:val="0"/>
          <w:color w:val="auto"/>
          <w:spacing w:val="0"/>
          <w:sz w:val="28"/>
          <w:szCs w:val="28"/>
          <w:highlight w:val="none"/>
        </w:rPr>
      </w:pPr>
      <w:r>
        <w:rPr>
          <w:rFonts w:hint="eastAsia" w:ascii="仿宋" w:hAnsi="仿宋" w:eastAsia="仿宋" w:cs="仿宋"/>
          <w:i w:val="0"/>
          <w:iCs w:val="0"/>
          <w:caps w:val="0"/>
          <w:color w:val="auto"/>
          <w:spacing w:val="0"/>
          <w:sz w:val="28"/>
          <w:szCs w:val="28"/>
          <w:highlight w:val="none"/>
          <w:lang w:val="en-US" w:eastAsia="zh-CN"/>
        </w:rPr>
        <w:t>4、</w:t>
      </w:r>
      <w:r>
        <w:rPr>
          <w:rFonts w:hint="eastAsia" w:ascii="仿宋" w:hAnsi="仿宋" w:eastAsia="仿宋" w:cs="仿宋"/>
          <w:i w:val="0"/>
          <w:iCs w:val="0"/>
          <w:caps w:val="0"/>
          <w:color w:val="auto"/>
          <w:spacing w:val="0"/>
          <w:sz w:val="28"/>
          <w:szCs w:val="28"/>
          <w:highlight w:val="none"/>
        </w:rPr>
        <w:t>参加采购活动前三年内，在经营活动中没有重大违法记录。</w:t>
      </w:r>
    </w:p>
    <w:p>
      <w:pPr>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其他资格条件：</w:t>
      </w:r>
    </w:p>
    <w:p>
      <w:pPr>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5.1所投一、二、三类医疗器械产品用于临床的：二、三类医疗器械产品的须具有医疗器械注册证及登记表（新证不需登记表），一类医疗器械产品的须具有产品备案登记凭证；</w:t>
      </w:r>
    </w:p>
    <w:p>
      <w:pPr>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5.2所投在中华人民共和国境内生产的一、二、三类医疗器械产品用于临床的：二、三类医疗器械产品须具有医疗器械生产许可证,一类医疗器械产品的须具有医疗器械生产备案凭证；</w:t>
      </w:r>
    </w:p>
    <w:p>
      <w:pPr>
        <w:ind w:firstLine="560" w:firstLineChars="200"/>
        <w:rPr>
          <w:rFonts w:hint="eastAsia" w:ascii="仿宋" w:hAnsi="仿宋" w:eastAsia="仿宋" w:cs="仿宋"/>
          <w:color w:val="auto"/>
          <w:highlight w:val="none"/>
        </w:rPr>
      </w:pPr>
      <w:r>
        <w:rPr>
          <w:rFonts w:hint="eastAsia" w:ascii="仿宋" w:hAnsi="仿宋" w:eastAsia="仿宋" w:cs="仿宋"/>
          <w:color w:val="auto"/>
          <w:sz w:val="28"/>
          <w:szCs w:val="28"/>
          <w:highlight w:val="none"/>
        </w:rPr>
        <w:t>5.3经营用于临床三、二类医疗器械的：三类医疗器械须具有医疗器械经营企业许可证，二类医疗器械的须具有医疗器械经营企业备案登记凭证；（医疗器械注册人或者生产企业在其住所或者生产地址销售医疗器械，不需提供）。</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报名时间、报名方式：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jc w:val="both"/>
        <w:rPr>
          <w:rStyle w:val="20"/>
          <w:rFonts w:hint="eastAsia" w:ascii="仿宋" w:hAnsi="仿宋" w:eastAsia="仿宋" w:cs="仿宋"/>
          <w:b w:val="0"/>
          <w:bCs w:val="0"/>
          <w:i w:val="0"/>
          <w:iCs w:val="0"/>
          <w:caps w:val="0"/>
          <w:color w:val="auto"/>
          <w:spacing w:val="0"/>
          <w:kern w:val="0"/>
          <w:sz w:val="28"/>
          <w:szCs w:val="28"/>
          <w:highlight w:val="none"/>
          <w:lang w:val="en-US" w:eastAsia="zh-CN" w:bidi="ar"/>
        </w:rPr>
      </w:pPr>
      <w:r>
        <w:rPr>
          <w:rStyle w:val="20"/>
          <w:rFonts w:hint="eastAsia" w:ascii="仿宋" w:hAnsi="仿宋" w:eastAsia="仿宋" w:cs="仿宋"/>
          <w:b w:val="0"/>
          <w:bCs w:val="0"/>
          <w:i w:val="0"/>
          <w:iCs w:val="0"/>
          <w:caps w:val="0"/>
          <w:color w:val="auto"/>
          <w:spacing w:val="0"/>
          <w:kern w:val="0"/>
          <w:sz w:val="28"/>
          <w:szCs w:val="28"/>
          <w:highlight w:val="none"/>
          <w:lang w:val="en-US" w:eastAsia="zh-CN" w:bidi="ar"/>
        </w:rPr>
        <w:t>本次竞争性谈判活动采用邮箱报名，不需要到现场报名，供应商须将报名表、营业执照扫描件于2022年12月1日下午17:00之前发送到到电子邮箱gzszlyycgb@126.com。如有疑问，请拨打电话0797-</w:t>
      </w:r>
      <w:r>
        <w:rPr>
          <w:rFonts w:hint="eastAsia" w:ascii="仿宋" w:hAnsi="仿宋" w:eastAsia="仿宋" w:cs="仿宋"/>
          <w:b w:val="0"/>
          <w:bCs w:val="0"/>
          <w:i w:val="0"/>
          <w:iCs w:val="0"/>
          <w:caps w:val="0"/>
          <w:color w:val="auto"/>
          <w:spacing w:val="0"/>
          <w:kern w:val="0"/>
          <w:sz w:val="28"/>
          <w:szCs w:val="28"/>
          <w:highlight w:val="none"/>
          <w:lang w:val="en-US" w:eastAsia="zh-CN" w:bidi="ar"/>
        </w:rPr>
        <w:t>8105097游龙跃</w:t>
      </w:r>
      <w:r>
        <w:rPr>
          <w:rStyle w:val="20"/>
          <w:rFonts w:hint="eastAsia" w:ascii="仿宋" w:hAnsi="仿宋" w:eastAsia="仿宋" w:cs="仿宋"/>
          <w:b w:val="0"/>
          <w:bCs w:val="0"/>
          <w:i w:val="0"/>
          <w:iCs w:val="0"/>
          <w:caps w:val="0"/>
          <w:color w:val="auto"/>
          <w:spacing w:val="0"/>
          <w:kern w:val="0"/>
          <w:sz w:val="28"/>
          <w:szCs w:val="28"/>
          <w:highlight w:val="none"/>
          <w:lang w:val="en-US"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Style w:val="20"/>
          <w:rFonts w:hint="eastAsia" w:ascii="仿宋" w:hAnsi="仿宋" w:eastAsia="仿宋" w:cs="仿宋"/>
          <w:b w:val="0"/>
          <w:bCs w:val="0"/>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七、响应截止时间和谈判时间：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jc w:val="both"/>
        <w:rPr>
          <w:rStyle w:val="20"/>
          <w:rFonts w:hint="eastAsia" w:ascii="仿宋" w:hAnsi="仿宋" w:eastAsia="仿宋" w:cs="仿宋"/>
          <w:b w:val="0"/>
          <w:bCs w:val="0"/>
          <w:i w:val="0"/>
          <w:iCs w:val="0"/>
          <w:caps w:val="0"/>
          <w:color w:val="auto"/>
          <w:spacing w:val="0"/>
          <w:kern w:val="0"/>
          <w:sz w:val="28"/>
          <w:szCs w:val="28"/>
          <w:highlight w:val="none"/>
          <w:lang w:val="en-US" w:eastAsia="zh-CN" w:bidi="ar"/>
        </w:rPr>
      </w:pPr>
      <w:r>
        <w:rPr>
          <w:rStyle w:val="20"/>
          <w:rFonts w:hint="eastAsia" w:ascii="仿宋" w:hAnsi="仿宋" w:eastAsia="仿宋" w:cs="仿宋"/>
          <w:b w:val="0"/>
          <w:bCs w:val="0"/>
          <w:i w:val="0"/>
          <w:iCs w:val="0"/>
          <w:caps w:val="0"/>
          <w:color w:val="auto"/>
          <w:spacing w:val="0"/>
          <w:kern w:val="0"/>
          <w:sz w:val="28"/>
          <w:szCs w:val="28"/>
          <w:highlight w:val="none"/>
          <w:lang w:val="en-US" w:eastAsia="zh-CN" w:bidi="ar"/>
        </w:rPr>
        <w:t>现场响应截止时间：2022年12月2日（星期五）上午9：30。</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jc w:val="both"/>
        <w:rPr>
          <w:rStyle w:val="20"/>
          <w:rFonts w:hint="default" w:ascii="仿宋" w:hAnsi="仿宋" w:eastAsia="仿宋" w:cs="仿宋"/>
          <w:b w:val="0"/>
          <w:bCs w:val="0"/>
          <w:i w:val="0"/>
          <w:iCs w:val="0"/>
          <w:caps w:val="0"/>
          <w:color w:val="auto"/>
          <w:spacing w:val="0"/>
          <w:kern w:val="0"/>
          <w:sz w:val="28"/>
          <w:szCs w:val="28"/>
          <w:highlight w:val="none"/>
          <w:lang w:val="en-US" w:eastAsia="zh-CN" w:bidi="ar"/>
        </w:rPr>
      </w:pPr>
      <w:r>
        <w:rPr>
          <w:rStyle w:val="20"/>
          <w:rFonts w:hint="eastAsia" w:ascii="仿宋" w:hAnsi="仿宋" w:eastAsia="仿宋" w:cs="仿宋"/>
          <w:b w:val="0"/>
          <w:bCs w:val="0"/>
          <w:i w:val="0"/>
          <w:iCs w:val="0"/>
          <w:caps w:val="0"/>
          <w:color w:val="auto"/>
          <w:spacing w:val="0"/>
          <w:kern w:val="0"/>
          <w:sz w:val="28"/>
          <w:szCs w:val="28"/>
          <w:highlight w:val="none"/>
          <w:lang w:val="en-US" w:eastAsia="zh-CN" w:bidi="ar"/>
        </w:rPr>
        <w:t>现场谈判地点：赣州市肿瘤医院机关楼会议室（医院食堂旁边）。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jc w:val="both"/>
        <w:rPr>
          <w:rStyle w:val="20"/>
          <w:rFonts w:hint="eastAsia" w:ascii="仿宋" w:hAnsi="仿宋" w:eastAsia="仿宋" w:cs="仿宋"/>
          <w:b w:val="0"/>
          <w:bCs w:val="0"/>
          <w:i w:val="0"/>
          <w:iCs w:val="0"/>
          <w:caps w:val="0"/>
          <w:color w:val="auto"/>
          <w:spacing w:val="0"/>
          <w:kern w:val="0"/>
          <w:sz w:val="28"/>
          <w:szCs w:val="28"/>
          <w:highlight w:val="none"/>
          <w:lang w:val="en-US" w:eastAsia="zh-CN" w:bidi="ar"/>
        </w:rPr>
      </w:pPr>
      <w:r>
        <w:rPr>
          <w:rStyle w:val="20"/>
          <w:rFonts w:hint="eastAsia" w:ascii="仿宋" w:hAnsi="仿宋" w:eastAsia="仿宋" w:cs="仿宋"/>
          <w:b w:val="0"/>
          <w:bCs w:val="0"/>
          <w:i w:val="0"/>
          <w:iCs w:val="0"/>
          <w:caps w:val="0"/>
          <w:color w:val="auto"/>
          <w:spacing w:val="0"/>
          <w:kern w:val="0"/>
          <w:sz w:val="28"/>
          <w:szCs w:val="28"/>
          <w:highlight w:val="none"/>
          <w:lang w:val="en-US" w:eastAsia="zh-CN" w:bidi="ar"/>
        </w:rPr>
        <w:t>谈判文件一式三份（一正两副），资料按要求胶装成册。逾期或不符合规定的竞谈响应文件恕不接受。签到时应主动出示身份证明原件。（温馨提示：疫情期间，请各响应供应商提前按政府疫情防控相关要求做好准备。）</w:t>
      </w:r>
    </w:p>
    <w:p>
      <w:pPr>
        <w:numPr>
          <w:ilvl w:val="0"/>
          <w:numId w:val="0"/>
        </w:numPr>
        <w:ind w:leftChars="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八、</w:t>
      </w:r>
      <w:r>
        <w:rPr>
          <w:rFonts w:hint="eastAsia" w:ascii="仿宋" w:hAnsi="仿宋" w:eastAsia="仿宋" w:cs="仿宋"/>
          <w:b/>
          <w:bCs/>
          <w:color w:val="auto"/>
          <w:sz w:val="28"/>
          <w:szCs w:val="28"/>
          <w:highlight w:val="none"/>
        </w:rPr>
        <w:t>履约保证金及退回方式：</w:t>
      </w:r>
    </w:p>
    <w:p>
      <w:pPr>
        <w:ind w:firstLine="560" w:firstLineChars="200"/>
        <w:rPr>
          <w:rFonts w:hint="eastAsia" w:ascii="仿宋" w:hAnsi="仿宋" w:eastAsia="仿宋" w:cs="仿宋"/>
          <w:b/>
          <w:bCs/>
          <w:kern w:val="0"/>
          <w:sz w:val="28"/>
          <w:szCs w:val="28"/>
          <w:highlight w:val="none"/>
        </w:rPr>
      </w:pPr>
      <w:r>
        <w:rPr>
          <w:rFonts w:hint="eastAsia" w:ascii="仿宋" w:hAnsi="仿宋" w:eastAsia="仿宋" w:cs="仿宋"/>
          <w:sz w:val="28"/>
          <w:szCs w:val="28"/>
          <w:highlight w:val="none"/>
        </w:rPr>
        <w:t>履约保证金及退回方式：成交供应商还须缴纳履约保证金（履约保证金以银行转账（电汇）、支票、汇票、本票或者金融机构、担保机构出具的保函等非现金形式提交），按成交金额的5%缴纳履约保证金。履约保证金由采购人收取，根据采购合同约定，待成交供应商履行完合同约定义务后一次性无息退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九</w:t>
      </w:r>
      <w:r>
        <w:rPr>
          <w:rFonts w:hint="eastAsia" w:ascii="仿宋" w:hAnsi="仿宋" w:eastAsia="仿宋" w:cs="仿宋"/>
          <w:b/>
          <w:bCs/>
          <w:color w:val="auto"/>
          <w:sz w:val="28"/>
          <w:szCs w:val="28"/>
          <w:highlight w:val="none"/>
        </w:rPr>
        <w:t>、付款方式：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jc w:val="both"/>
        <w:rPr>
          <w:rFonts w:hint="eastAsia" w:ascii="仿宋" w:hAnsi="仿宋" w:eastAsia="仿宋" w:cs="仿宋"/>
          <w:sz w:val="28"/>
          <w:szCs w:val="28"/>
          <w:highlight w:val="none"/>
        </w:rPr>
      </w:pPr>
      <w:r>
        <w:rPr>
          <w:rFonts w:hint="eastAsia" w:ascii="仿宋" w:hAnsi="仿宋" w:eastAsia="仿宋" w:cs="仿宋"/>
          <w:sz w:val="28"/>
          <w:szCs w:val="28"/>
          <w:highlight w:val="none"/>
        </w:rPr>
        <w:t>合同签订、货物送达、安装调试、培训完成且验收合格,收到符合国家法律规定的税票后30天内支付合同总额的100%。</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Style w:val="20"/>
          <w:rFonts w:hint="eastAsia" w:ascii="仿宋" w:hAnsi="仿宋" w:eastAsia="仿宋" w:cs="仿宋"/>
          <w:b/>
          <w:bCs/>
          <w:i w:val="0"/>
          <w:iCs w:val="0"/>
          <w:caps w:val="0"/>
          <w:color w:val="auto"/>
          <w:spacing w:val="0"/>
          <w:kern w:val="0"/>
          <w:sz w:val="28"/>
          <w:szCs w:val="28"/>
          <w:highlight w:val="none"/>
          <w:lang w:val="en-US" w:eastAsia="zh-CN" w:bidi="ar"/>
        </w:rPr>
      </w:pPr>
      <w:r>
        <w:rPr>
          <w:rStyle w:val="20"/>
          <w:rFonts w:hint="eastAsia" w:ascii="仿宋" w:hAnsi="仿宋" w:eastAsia="仿宋" w:cs="仿宋"/>
          <w:b/>
          <w:bCs/>
          <w:i w:val="0"/>
          <w:iCs w:val="0"/>
          <w:caps w:val="0"/>
          <w:color w:val="auto"/>
          <w:spacing w:val="0"/>
          <w:kern w:val="0"/>
          <w:sz w:val="28"/>
          <w:szCs w:val="28"/>
          <w:highlight w:val="none"/>
          <w:lang w:val="en-US" w:eastAsia="zh-CN" w:bidi="ar"/>
        </w:rPr>
        <w:t>十、联系方式：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采购人：赣州市肿瘤医院</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地址：赣州市水东镇花园前19号</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电话：0797-8105097</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联系人：游龙跃</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网址：http://www.gzzlyy.com/</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i w:val="0"/>
          <w:iCs w:val="0"/>
          <w:caps w:val="0"/>
          <w:color w:val="auto"/>
          <w:spacing w:val="0"/>
          <w:sz w:val="28"/>
          <w:szCs w:val="28"/>
          <w:highlight w:val="none"/>
          <w:lang w:val="en-US"/>
        </w:rPr>
      </w:pPr>
      <w:r>
        <w:rPr>
          <w:rFonts w:hint="eastAsia" w:ascii="仿宋" w:hAnsi="仿宋" w:eastAsia="仿宋" w:cs="仿宋"/>
          <w:i w:val="0"/>
          <w:iCs w:val="0"/>
          <w:caps w:val="0"/>
          <w:color w:val="auto"/>
          <w:spacing w:val="0"/>
          <w:kern w:val="0"/>
          <w:sz w:val="28"/>
          <w:szCs w:val="28"/>
          <w:highlight w:val="none"/>
          <w:lang w:val="en-US" w:eastAsia="zh-CN" w:bidi="ar"/>
        </w:rPr>
        <w:t> 附件1：赣州肿瘤医院采购会报名表</w:t>
      </w:r>
    </w:p>
    <w:tbl>
      <w:tblPr>
        <w:tblStyle w:val="17"/>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none"/>
              </w:rPr>
              <w:fldChar w:fldCharType="begin"/>
            </w:r>
            <w:r>
              <w:rPr>
                <w:rFonts w:hint="eastAsia" w:ascii="仿宋" w:hAnsi="仿宋" w:eastAsia="仿宋" w:cs="仿宋"/>
                <w:color w:val="auto"/>
                <w:sz w:val="28"/>
                <w:szCs w:val="28"/>
                <w:highlight w:val="none"/>
                <w:u w:val="none"/>
              </w:rPr>
              <w:instrText xml:space="preserve"> HYPERLINK "http://www.gzzlyy.com/uploads/soft/210705/1-210F5114455.doc" </w:instrText>
            </w:r>
            <w:r>
              <w:rPr>
                <w:rFonts w:hint="eastAsia" w:ascii="仿宋" w:hAnsi="仿宋" w:eastAsia="仿宋" w:cs="仿宋"/>
                <w:color w:val="auto"/>
                <w:sz w:val="28"/>
                <w:szCs w:val="28"/>
                <w:highlight w:val="none"/>
                <w:u w:val="none"/>
              </w:rPr>
              <w:fldChar w:fldCharType="separate"/>
            </w:r>
            <w:r>
              <w:rPr>
                <w:rFonts w:hint="eastAsia" w:ascii="仿宋" w:hAnsi="仿宋" w:eastAsia="仿宋" w:cs="仿宋"/>
                <w:color w:val="auto"/>
                <w:sz w:val="28"/>
                <w:szCs w:val="28"/>
                <w:highlight w:val="none"/>
                <w:u w:val="none"/>
              </w:rPr>
              <mc:AlternateContent>
                <mc:Choice Requires="wps">
                  <w:drawing>
                    <wp:inline distT="0" distB="0" distL="114300" distR="114300">
                      <wp:extent cx="304800" cy="304800"/>
                      <wp:effectExtent l="0" t="0" r="0" b="0"/>
                      <wp:docPr id="3" name="矩形 3" descr="IMG_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a:effectLst/>
                            </wps:spPr>
                            <wps:bodyPr upright="1"/>
                          </wps:wsp>
                        </a:graphicData>
                      </a:graphic>
                    </wp:inline>
                  </w:drawing>
                </mc:Choice>
                <mc:Fallback>
                  <w:pict>
                    <v:rect id="_x0000_s1026" o:spid="_x0000_s1026" o:spt="1" alt="IMG_256"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zJZ00gAAAAMBAAAPAAAAAAAAAAEAIAAAACIAAABkcnMvZG93bnJldi54bWxQSwECFAAU&#10;AAAACACHTuJAVBoTY74BAAB/AwAADgAAAAAAAAABACAAAAAhAQAAZHJzL2Uyb0RvYy54bWxQSwUG&#10;AAAAAAYABgBZAQAAUQUAAAAA&#10;">
                      <v:fill on="f" focussize="0,0"/>
                      <v:stroke on="f"/>
                      <v:imagedata o:title=""/>
                      <o:lock v:ext="edit" aspectratio="t"/>
                      <w10:wrap type="none"/>
                      <w10:anchorlock/>
                    </v:rect>
                  </w:pict>
                </mc:Fallback>
              </mc:AlternateContent>
            </w:r>
            <w:r>
              <w:rPr>
                <w:rFonts w:hint="eastAsia" w:ascii="仿宋" w:hAnsi="仿宋" w:eastAsia="仿宋" w:cs="仿宋"/>
                <w:color w:val="auto"/>
                <w:sz w:val="28"/>
                <w:szCs w:val="28"/>
                <w:highlight w:val="none"/>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en-US" w:eastAsia="zh-CN" w:bidi="ar"/>
              </w:rPr>
              <w:t> </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highlight w:val="none"/>
          <w:lang w:val="en-US"/>
        </w:rPr>
      </w:pPr>
      <w:r>
        <w:rPr>
          <w:rFonts w:hint="eastAsia" w:ascii="仿宋" w:hAnsi="仿宋" w:eastAsia="仿宋" w:cs="仿宋"/>
          <w:i w:val="0"/>
          <w:iCs w:val="0"/>
          <w:caps w:val="0"/>
          <w:color w:val="auto"/>
          <w:spacing w:val="0"/>
          <w:kern w:val="0"/>
          <w:sz w:val="28"/>
          <w:szCs w:val="28"/>
          <w:highlight w:val="none"/>
          <w:lang w:val="en-US" w:eastAsia="zh-CN" w:bidi="ar"/>
        </w:rPr>
        <w:t>附件2：竞争性谈判文件</w:t>
      </w:r>
    </w:p>
    <w:tbl>
      <w:tblPr>
        <w:tblStyle w:val="17"/>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none"/>
              </w:rPr>
              <w:fldChar w:fldCharType="begin"/>
            </w:r>
            <w:r>
              <w:rPr>
                <w:rFonts w:hint="eastAsia" w:ascii="仿宋" w:hAnsi="仿宋" w:eastAsia="仿宋" w:cs="仿宋"/>
                <w:color w:val="auto"/>
                <w:sz w:val="28"/>
                <w:szCs w:val="28"/>
                <w:highlight w:val="none"/>
                <w:u w:val="none"/>
              </w:rPr>
              <w:instrText xml:space="preserve"> HYPERLINK "http://www.gzzlyy.com/uploads/soft/210705/1-210F5114549.docx" </w:instrText>
            </w:r>
            <w:r>
              <w:rPr>
                <w:rFonts w:hint="eastAsia" w:ascii="仿宋" w:hAnsi="仿宋" w:eastAsia="仿宋" w:cs="仿宋"/>
                <w:color w:val="auto"/>
                <w:sz w:val="28"/>
                <w:szCs w:val="28"/>
                <w:highlight w:val="none"/>
                <w:u w:val="none"/>
              </w:rPr>
              <w:fldChar w:fldCharType="separate"/>
            </w:r>
            <w:r>
              <w:rPr>
                <w:rFonts w:hint="eastAsia" w:ascii="仿宋" w:hAnsi="仿宋" w:eastAsia="仿宋" w:cs="仿宋"/>
                <w:color w:val="auto"/>
                <w:sz w:val="28"/>
                <w:szCs w:val="28"/>
                <w:highlight w:val="none"/>
                <w:u w:val="none"/>
              </w:rPr>
              <mc:AlternateContent>
                <mc:Choice Requires="wps">
                  <w:drawing>
                    <wp:inline distT="0" distB="0" distL="114300" distR="114300">
                      <wp:extent cx="304800" cy="304800"/>
                      <wp:effectExtent l="0" t="0" r="0" b="0"/>
                      <wp:docPr id="2" name="矩形 2" descr="IMG_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a:effectLst/>
                            </wps:spPr>
                            <wps:bodyPr upright="1"/>
                          </wps:wsp>
                        </a:graphicData>
                      </a:graphic>
                    </wp:inline>
                  </w:drawing>
                </mc:Choice>
                <mc:Fallback>
                  <w:pict>
                    <v:rect id="_x0000_s1026" o:spid="_x0000_s1026" o:spt="1" alt="IMG_257"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zJZ00gAAAAMBAAAPAAAAAAAAAAEAIAAAACIAAABkcnMvZG93bnJldi54bWxQSwECFAAU&#10;AAAACACHTuJAsDsVf74BAAB/AwAADgAAAAAAAAABACAAAAAhAQAAZHJzL2Uyb0RvYy54bWxQSwUG&#10;AAAAAAYABgBZAQAAUQUAAAAA&#10;">
                      <v:fill on="f" focussize="0,0"/>
                      <v:stroke on="f"/>
                      <v:imagedata o:title=""/>
                      <o:lock v:ext="edit" aspectratio="t"/>
                      <w10:wrap type="none"/>
                      <w10:anchorlock/>
                    </v:rect>
                  </w:pict>
                </mc:Fallback>
              </mc:AlternateContent>
            </w:r>
            <w:r>
              <w:rPr>
                <w:rFonts w:hint="eastAsia" w:ascii="仿宋" w:hAnsi="仿宋" w:eastAsia="仿宋" w:cs="仿宋"/>
                <w:color w:val="auto"/>
                <w:sz w:val="28"/>
                <w:szCs w:val="28"/>
                <w:highlight w:val="none"/>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en-US" w:eastAsia="zh-CN" w:bidi="ar"/>
              </w:rPr>
              <w:t> </w:t>
            </w:r>
          </w:p>
        </w:tc>
      </w:tr>
    </w:tbl>
    <w:p>
      <w:pPr>
        <w:keepNext w:val="0"/>
        <w:keepLines w:val="0"/>
        <w:widowControl/>
        <w:suppressLineNumbers w:val="0"/>
        <w:spacing w:before="0" w:beforeAutospacing="0" w:after="0" w:afterAutospacing="0"/>
        <w:ind w:right="0" w:firstLine="5600" w:firstLineChars="2000"/>
        <w:jc w:val="left"/>
        <w:rPr>
          <w:rFonts w:hint="default" w:ascii="仿宋" w:hAnsi="仿宋" w:eastAsia="仿宋" w:cs="仿宋"/>
          <w:i w:val="0"/>
          <w:iCs w:val="0"/>
          <w:caps w:val="0"/>
          <w:color w:val="auto"/>
          <w:spacing w:val="0"/>
          <w:kern w:val="0"/>
          <w:sz w:val="28"/>
          <w:szCs w:val="28"/>
          <w:highlight w:val="none"/>
          <w:lang w:val="en-US" w:eastAsia="zh-CN" w:bidi="ar"/>
        </w:rPr>
      </w:pPr>
      <w:r>
        <w:rPr>
          <w:rFonts w:hint="eastAsia" w:ascii="仿宋" w:hAnsi="仿宋" w:eastAsia="仿宋" w:cs="仿宋"/>
          <w:i w:val="0"/>
          <w:iCs w:val="0"/>
          <w:caps w:val="0"/>
          <w:color w:val="auto"/>
          <w:spacing w:val="0"/>
          <w:kern w:val="0"/>
          <w:sz w:val="28"/>
          <w:szCs w:val="28"/>
          <w:highlight w:val="none"/>
          <w:lang w:val="en-US" w:eastAsia="zh-CN" w:bidi="ar"/>
        </w:rPr>
        <w:t>赣州市肿瘤医院</w:t>
      </w:r>
    </w:p>
    <w:p>
      <w:pPr>
        <w:keepNext w:val="0"/>
        <w:keepLines w:val="0"/>
        <w:widowControl/>
        <w:suppressLineNumbers w:val="0"/>
        <w:spacing w:before="0" w:beforeAutospacing="0" w:after="0" w:afterAutospacing="0"/>
        <w:ind w:right="0" w:firstLine="5600" w:firstLineChars="2000"/>
        <w:jc w:val="left"/>
        <w:rPr>
          <w:rFonts w:hint="eastAsia" w:ascii="仿宋" w:hAnsi="仿宋" w:eastAsia="仿宋" w:cs="仿宋"/>
          <w:color w:val="auto"/>
          <w:sz w:val="28"/>
          <w:szCs w:val="28"/>
          <w:highlight w:val="none"/>
        </w:rPr>
      </w:pPr>
      <w:r>
        <w:rPr>
          <w:rFonts w:hint="eastAsia" w:ascii="仿宋" w:hAnsi="仿宋" w:eastAsia="仿宋" w:cs="仿宋"/>
          <w:i w:val="0"/>
          <w:iCs w:val="0"/>
          <w:caps w:val="0"/>
          <w:color w:val="auto"/>
          <w:spacing w:val="0"/>
          <w:kern w:val="0"/>
          <w:sz w:val="28"/>
          <w:szCs w:val="28"/>
          <w:highlight w:val="none"/>
          <w:lang w:val="en-US" w:eastAsia="zh-CN" w:bidi="ar"/>
        </w:rPr>
        <w:t>2022年11月29日</w:t>
      </w:r>
    </w:p>
    <w:p>
      <w:pPr>
        <w:rPr>
          <w:highlight w:val="none"/>
        </w:rPr>
      </w:pPr>
    </w:p>
    <w:p>
      <w:pPr>
        <w:rPr>
          <w:highlight w:val="none"/>
        </w:rPr>
      </w:pPr>
    </w:p>
    <w:p>
      <w:pPr>
        <w:rPr>
          <w:color w:val="auto"/>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二、</w:t>
      </w:r>
      <w:r>
        <w:rPr>
          <w:rFonts w:hint="eastAsia" w:ascii="仿宋" w:hAnsi="仿宋" w:eastAsia="仿宋" w:cs="仿宋"/>
          <w:color w:val="auto"/>
          <w:kern w:val="0"/>
          <w:highlight w:val="none"/>
          <w:lang w:eastAsia="zh-CN"/>
        </w:rPr>
        <w:t>响应供应商</w:t>
      </w:r>
      <w:r>
        <w:rPr>
          <w:rFonts w:hint="eastAsia" w:ascii="仿宋" w:hAnsi="仿宋" w:eastAsia="仿宋" w:cs="仿宋"/>
          <w:color w:val="auto"/>
          <w:kern w:val="0"/>
          <w:highlight w:val="none"/>
        </w:rPr>
        <w:t>须知</w:t>
      </w:r>
      <w:bookmarkStart w:id="4" w:name="_Toc519068566"/>
      <w:bookmarkEnd w:id="4"/>
    </w:p>
    <w:p>
      <w:pPr>
        <w:pStyle w:val="5"/>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highlight w:val="none"/>
        </w:rPr>
      </w:pPr>
      <w:bookmarkStart w:id="5" w:name="_Toc29044"/>
      <w:bookmarkStart w:id="6" w:name="_Toc36173308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一</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5"/>
      <w:bookmarkEnd w:id="6"/>
    </w:p>
    <w:p>
      <w:pPr>
        <w:pStyle w:val="5"/>
        <w:pageBreakBefore w:val="0"/>
        <w:kinsoku/>
        <w:overflowPunct/>
        <w:topLinePunct w:val="0"/>
        <w:autoSpaceDE/>
        <w:autoSpaceDN/>
        <w:bidi w:val="0"/>
        <w:adjustRightInd/>
        <w:spacing w:line="360" w:lineRule="auto"/>
        <w:ind w:left="0" w:leftChars="0" w:firstLine="542" w:firstLineChars="200"/>
        <w:jc w:val="both"/>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w:t>
      </w:r>
      <w:r>
        <w:rPr>
          <w:rFonts w:hint="eastAsia" w:ascii="仿宋" w:hAnsi="仿宋" w:eastAsia="仿宋" w:cs="仿宋"/>
          <w:b/>
          <w:color w:val="auto"/>
          <w:sz w:val="27"/>
          <w:szCs w:val="27"/>
          <w:highlight w:val="none"/>
        </w:rPr>
        <w:t>澄清与答疑</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.1本项目不进行集中答疑。投标人认为</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文件的内容有疑问的，应向</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提出询问，</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应当在3个工作日内对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依法提出的询问作出答复。必要时，</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将组织专家进行论证。并将答疑结果公布在</w:t>
      </w:r>
      <w:r>
        <w:rPr>
          <w:rFonts w:hint="eastAsia" w:ascii="仿宋" w:hAnsi="仿宋" w:eastAsia="仿宋" w:cs="仿宋"/>
          <w:b w:val="0"/>
          <w:bCs w:val="0"/>
          <w:color w:val="auto"/>
          <w:sz w:val="27"/>
          <w:szCs w:val="27"/>
          <w:highlight w:val="none"/>
          <w:lang w:eastAsia="zh-CN"/>
        </w:rPr>
        <w:t>赣州市肿瘤医院官网</w:t>
      </w:r>
      <w:r>
        <w:rPr>
          <w:rFonts w:hint="eastAsia" w:ascii="仿宋" w:hAnsi="仿宋" w:eastAsia="仿宋" w:cs="仿宋"/>
          <w:b w:val="0"/>
          <w:bCs w:val="0"/>
          <w:color w:val="auto"/>
          <w:sz w:val="27"/>
          <w:szCs w:val="27"/>
          <w:highlight w:val="none"/>
        </w:rPr>
        <w:t>，各投标人应注意浏览。</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.2投标人在规定的时间内未对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文件要求澄清或提出疑问的，</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将视其为同意。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.3投标人有义务在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2.谈判</w:t>
      </w:r>
      <w:r>
        <w:rPr>
          <w:rFonts w:hint="eastAsia" w:ascii="仿宋" w:hAnsi="仿宋" w:eastAsia="仿宋" w:cs="仿宋"/>
          <w:b/>
          <w:color w:val="auto"/>
          <w:sz w:val="27"/>
          <w:szCs w:val="27"/>
          <w:highlight w:val="none"/>
        </w:rPr>
        <w:t>文件的修改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bookmarkStart w:id="7" w:name="_Toc519068568"/>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 xml:space="preserve">.1 </w:t>
      </w:r>
      <w:bookmarkEnd w:id="7"/>
      <w:r>
        <w:rPr>
          <w:rFonts w:hint="eastAsia" w:ascii="仿宋" w:hAnsi="仿宋" w:eastAsia="仿宋" w:cs="仿宋"/>
          <w:color w:val="auto"/>
          <w:sz w:val="27"/>
          <w:szCs w:val="27"/>
          <w:highlight w:val="none"/>
        </w:rPr>
        <w:t>在法律规定期限内，无论出于何种原因，</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均可主动地或在解答投标人提出的澄清问题时，以补充（变更）公告的方式对</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文件进行修改。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补充（变更）公告将在指定网站上公布。投标人有义务在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活动期间浏览相关网站，</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在网上公布的与本次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项目有关的信息视为已送达各投标人。修改后的内容是</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文件的组成部分，将在指定网站公告所有已下载</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文件的潜在投标人，并对潜在投标人具有约束力。</w:t>
      </w:r>
    </w:p>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highlight w:val="none"/>
        </w:rPr>
      </w:pPr>
      <w:bookmarkStart w:id="8" w:name="_Toc16582"/>
      <w:bookmarkStart w:id="9" w:name="_Toc361733090"/>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二</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文件的编制</w:t>
      </w:r>
      <w:bookmarkEnd w:id="8"/>
      <w:bookmarkEnd w:id="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3.响应</w:t>
      </w:r>
      <w:r>
        <w:rPr>
          <w:rFonts w:hint="eastAsia" w:ascii="仿宋" w:hAnsi="仿宋" w:eastAsia="仿宋" w:cs="仿宋"/>
          <w:b/>
          <w:color w:val="auto"/>
          <w:sz w:val="27"/>
          <w:szCs w:val="27"/>
          <w:highlight w:val="none"/>
        </w:rPr>
        <w:t>文件的编制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.1 投标人对</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文件的编制应按</w:t>
      </w:r>
      <w:r>
        <w:rPr>
          <w:rFonts w:hint="eastAsia" w:ascii="仿宋" w:hAnsi="仿宋" w:eastAsia="仿宋" w:cs="仿宋"/>
          <w:color w:val="auto"/>
          <w:sz w:val="27"/>
          <w:szCs w:val="27"/>
          <w:highlight w:val="none"/>
          <w:lang w:eastAsia="zh-CN"/>
        </w:rPr>
        <w:t>谈判</w:t>
      </w:r>
      <w:r>
        <w:rPr>
          <w:rFonts w:hint="eastAsia" w:ascii="仿宋" w:hAnsi="仿宋" w:eastAsia="仿宋" w:cs="仿宋"/>
          <w:color w:val="auto"/>
          <w:sz w:val="27"/>
          <w:szCs w:val="27"/>
          <w:highlight w:val="none"/>
        </w:rPr>
        <w:t>文件要求。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必须按本文件的全部内容，包括所有的补充（变更）公告及答疑进行编制。投标人提供的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文件不完整，导致的结果和责任由投标人承担。</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4.</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文件构成</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文件统一格式应包括但不限于</w:t>
      </w:r>
      <w:r>
        <w:rPr>
          <w:rFonts w:hint="eastAsia" w:ascii="仿宋" w:hAnsi="仿宋" w:eastAsia="仿宋" w:cs="仿宋"/>
          <w:color w:val="auto"/>
          <w:sz w:val="27"/>
          <w:szCs w:val="27"/>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.1.1投标函；</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.1.2投标报价一览表（格式）；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.1.3资格证明文件；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4.1.3.1</w:t>
      </w:r>
      <w:r>
        <w:rPr>
          <w:rFonts w:hint="eastAsia" w:ascii="仿宋" w:hAnsi="仿宋" w:eastAsia="仿宋" w:cs="仿宋"/>
          <w:color w:val="auto"/>
          <w:sz w:val="27"/>
          <w:szCs w:val="27"/>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4.1.3.3</w:t>
      </w:r>
      <w:r>
        <w:rPr>
          <w:rFonts w:hint="eastAsia" w:ascii="仿宋" w:hAnsi="仿宋" w:eastAsia="仿宋" w:cs="仿宋"/>
          <w:color w:val="auto"/>
          <w:sz w:val="27"/>
          <w:szCs w:val="27"/>
          <w:highlight w:val="none"/>
          <w:lang w:eastAsia="zh-CN"/>
        </w:rPr>
        <w:t>法定代表人（或负责人或经营者）授权书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lang w:eastAsia="zh-CN"/>
        </w:rPr>
        <w:t>（格式附后，</w:t>
      </w:r>
      <w:r>
        <w:rPr>
          <w:rFonts w:hint="eastAsia" w:ascii="仿宋" w:hAnsi="仿宋" w:eastAsia="仿宋" w:cs="仿宋"/>
          <w:color w:val="auto"/>
          <w:sz w:val="27"/>
          <w:szCs w:val="27"/>
          <w:highlight w:val="none"/>
          <w:lang w:val="en-US" w:eastAsia="zh-CN"/>
        </w:rPr>
        <w:t>身份证</w:t>
      </w:r>
      <w:r>
        <w:rPr>
          <w:rFonts w:hint="eastAsia" w:ascii="仿宋" w:hAnsi="仿宋" w:eastAsia="仿宋" w:cs="仿宋"/>
          <w:color w:val="auto"/>
          <w:sz w:val="27"/>
          <w:szCs w:val="27"/>
          <w:highlight w:val="none"/>
          <w:lang w:eastAsia="zh-CN"/>
        </w:rPr>
        <w:t>原件备查）。</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4投标人认为需提供的相关资料和</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文件要求提供的其他资料；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.2</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应使用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文件提供的格式，且可以按同样格式扩展。</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5.</w:t>
      </w:r>
      <w:r>
        <w:rPr>
          <w:rFonts w:hint="eastAsia" w:ascii="仿宋" w:hAnsi="仿宋" w:eastAsia="仿宋" w:cs="仿宋"/>
          <w:b/>
          <w:color w:val="auto"/>
          <w:sz w:val="27"/>
          <w:szCs w:val="27"/>
          <w:highlight w:val="none"/>
        </w:rPr>
        <w:t>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.1投标报价方式：采用</w:t>
      </w:r>
      <w:r>
        <w:rPr>
          <w:rFonts w:hint="eastAsia" w:ascii="仿宋" w:hAnsi="仿宋" w:eastAsia="仿宋" w:cs="仿宋"/>
          <w:color w:val="auto"/>
          <w:sz w:val="27"/>
          <w:szCs w:val="27"/>
          <w:highlight w:val="none"/>
          <w:u w:val="single"/>
        </w:rPr>
        <w:t xml:space="preserve">  固定报价  </w:t>
      </w:r>
      <w:r>
        <w:rPr>
          <w:rFonts w:hint="eastAsia" w:ascii="仿宋" w:hAnsi="仿宋" w:eastAsia="仿宋" w:cs="仿宋"/>
          <w:color w:val="auto"/>
          <w:sz w:val="27"/>
          <w:szCs w:val="27"/>
          <w:highlight w:val="none"/>
        </w:rPr>
        <w:t>方式，投标人根据市场行情和项目实际情况、特点和要求并结合企业自身管理水平及</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文件的要求自主报价。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5.2</w:t>
      </w:r>
      <w:r>
        <w:rPr>
          <w:rFonts w:hint="eastAsia" w:ascii="仿宋" w:hAnsi="仿宋" w:eastAsia="仿宋" w:cs="仿宋"/>
          <w:color w:val="auto"/>
          <w:sz w:val="27"/>
          <w:szCs w:val="27"/>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7"/>
          <w:szCs w:val="27"/>
          <w:highlight w:val="none"/>
          <w:lang w:eastAsia="zh-CN"/>
        </w:rPr>
        <w:t>勘察</w:t>
      </w:r>
      <w:r>
        <w:rPr>
          <w:rFonts w:hint="eastAsia" w:ascii="仿宋" w:hAnsi="仿宋" w:eastAsia="仿宋" w:cs="仿宋"/>
          <w:color w:val="auto"/>
          <w:sz w:val="27"/>
          <w:szCs w:val="27"/>
          <w:highlight w:val="none"/>
        </w:rPr>
        <w:t>量进行结算。</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投标人应按照“</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7"/>
          <w:szCs w:val="27"/>
          <w:highlight w:val="none"/>
          <w:lang w:eastAsia="zh-CN"/>
        </w:rPr>
        <w:t>单价</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投标人的报价须包含与本项目有关的一切费用。投标人所报的投标</w:t>
      </w:r>
      <w:r>
        <w:rPr>
          <w:rFonts w:hint="eastAsia" w:ascii="仿宋" w:hAnsi="仿宋" w:eastAsia="仿宋" w:cs="仿宋"/>
          <w:color w:val="auto"/>
          <w:sz w:val="27"/>
          <w:szCs w:val="27"/>
          <w:highlight w:val="none"/>
          <w:lang w:eastAsia="zh-CN"/>
        </w:rPr>
        <w:t>报价</w:t>
      </w:r>
      <w:r>
        <w:rPr>
          <w:rFonts w:hint="eastAsia" w:ascii="仿宋" w:hAnsi="仿宋" w:eastAsia="仿宋" w:cs="仿宋"/>
          <w:color w:val="auto"/>
          <w:sz w:val="27"/>
          <w:szCs w:val="27"/>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6.</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文件份数和签署</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.1投标人应按照要求，提交</w:t>
      </w:r>
      <w:r>
        <w:rPr>
          <w:rFonts w:hint="eastAsia" w:ascii="仿宋" w:hAnsi="仿宋" w:eastAsia="仿宋" w:cs="仿宋"/>
          <w:b/>
          <w:bCs/>
          <w:color w:val="auto"/>
          <w:kern w:val="0"/>
          <w:sz w:val="27"/>
          <w:szCs w:val="27"/>
          <w:highlight w:val="none"/>
        </w:rPr>
        <w:t>一式</w:t>
      </w:r>
      <w:r>
        <w:rPr>
          <w:rFonts w:hint="eastAsia" w:ascii="仿宋" w:hAnsi="仿宋" w:eastAsia="仿宋" w:cs="仿宋"/>
          <w:b/>
          <w:bCs/>
          <w:color w:val="auto"/>
          <w:kern w:val="0"/>
          <w:sz w:val="27"/>
          <w:szCs w:val="27"/>
          <w:highlight w:val="none"/>
          <w:lang w:eastAsia="zh-CN"/>
        </w:rPr>
        <w:t>叁</w:t>
      </w:r>
      <w:r>
        <w:rPr>
          <w:rFonts w:hint="eastAsia" w:ascii="仿宋" w:hAnsi="仿宋" w:eastAsia="仿宋" w:cs="仿宋"/>
          <w:b/>
          <w:bCs/>
          <w:color w:val="auto"/>
          <w:kern w:val="0"/>
          <w:sz w:val="27"/>
          <w:szCs w:val="27"/>
          <w:highlight w:val="none"/>
        </w:rPr>
        <w:t>份</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w:t>
      </w:r>
      <w:r>
        <w:rPr>
          <w:rFonts w:hint="eastAsia" w:ascii="仿宋" w:hAnsi="仿宋" w:eastAsia="仿宋" w:cs="仿宋"/>
          <w:b/>
          <w:bCs/>
          <w:color w:val="auto"/>
          <w:kern w:val="0"/>
          <w:sz w:val="27"/>
          <w:szCs w:val="27"/>
          <w:highlight w:val="none"/>
          <w:u w:val="single"/>
        </w:rPr>
        <w:t>1</w:t>
      </w:r>
      <w:r>
        <w:rPr>
          <w:rFonts w:hint="eastAsia" w:ascii="仿宋" w:hAnsi="仿宋" w:eastAsia="仿宋" w:cs="仿宋"/>
          <w:b/>
          <w:bCs/>
          <w:color w:val="auto"/>
          <w:kern w:val="0"/>
          <w:sz w:val="27"/>
          <w:szCs w:val="27"/>
          <w:highlight w:val="none"/>
        </w:rPr>
        <w:t>份正本、</w:t>
      </w:r>
      <w:r>
        <w:rPr>
          <w:rFonts w:hint="eastAsia" w:ascii="仿宋" w:hAnsi="仿宋" w:eastAsia="仿宋" w:cs="仿宋"/>
          <w:b/>
          <w:bCs/>
          <w:color w:val="auto"/>
          <w:kern w:val="0"/>
          <w:sz w:val="27"/>
          <w:szCs w:val="27"/>
          <w:highlight w:val="none"/>
          <w:u w:val="single"/>
          <w:lang w:val="en-US" w:eastAsia="zh-CN"/>
        </w:rPr>
        <w:t>2</w:t>
      </w:r>
      <w:r>
        <w:rPr>
          <w:rFonts w:hint="eastAsia" w:ascii="仿宋" w:hAnsi="仿宋" w:eastAsia="仿宋" w:cs="仿宋"/>
          <w:b/>
          <w:bCs/>
          <w:color w:val="auto"/>
          <w:kern w:val="0"/>
          <w:sz w:val="27"/>
          <w:szCs w:val="27"/>
          <w:highlight w:val="none"/>
        </w:rPr>
        <w:t>份副本</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文件必须按统一格式编制并按顺序</w:t>
      </w:r>
      <w:r>
        <w:rPr>
          <w:rFonts w:hint="eastAsia" w:ascii="仿宋" w:hAnsi="仿宋" w:eastAsia="仿宋" w:cs="仿宋"/>
          <w:b/>
          <w:color w:val="auto"/>
          <w:kern w:val="0"/>
          <w:sz w:val="27"/>
          <w:szCs w:val="27"/>
          <w:highlight w:val="none"/>
        </w:rPr>
        <w:t>胶装成册</w:t>
      </w:r>
      <w:r>
        <w:rPr>
          <w:rFonts w:hint="eastAsia" w:ascii="仿宋" w:hAnsi="仿宋" w:eastAsia="仿宋" w:cs="仿宋"/>
          <w:color w:val="auto"/>
          <w:kern w:val="0"/>
          <w:sz w:val="27"/>
          <w:szCs w:val="27"/>
          <w:highlight w:val="none"/>
        </w:rPr>
        <w:t>，不接受</w:t>
      </w:r>
      <w:r>
        <w:rPr>
          <w:rFonts w:hint="eastAsia" w:ascii="仿宋" w:hAnsi="仿宋" w:eastAsia="仿宋" w:cs="仿宋"/>
          <w:b/>
          <w:bCs/>
          <w:color w:val="auto"/>
          <w:kern w:val="0"/>
          <w:sz w:val="27"/>
          <w:szCs w:val="27"/>
          <w:highlight w:val="none"/>
        </w:rPr>
        <w:t>散页或活页</w:t>
      </w:r>
      <w:r>
        <w:rPr>
          <w:rFonts w:hint="eastAsia" w:ascii="仿宋" w:hAnsi="仿宋" w:eastAsia="仿宋" w:cs="仿宋"/>
          <w:b/>
          <w:color w:val="auto"/>
          <w:kern w:val="0"/>
          <w:sz w:val="27"/>
          <w:szCs w:val="27"/>
          <w:highlight w:val="none"/>
        </w:rPr>
        <w:t>或未胶装成册的</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文件的正本必须按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文件的规定加盖投标人公章，并按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文件的规定由投标人代表签字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。副本可以采用正本复印件或影印件。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.5除投标人对错处做必要修改外，</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.6 电报、电传、传真形式的</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文件概不接受。</w:t>
      </w:r>
    </w:p>
    <w:p>
      <w:pPr>
        <w:pStyle w:val="5"/>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highlight w:val="none"/>
        </w:rPr>
      </w:pPr>
      <w:bookmarkStart w:id="10" w:name="_Toc20158"/>
      <w:bookmarkStart w:id="11" w:name="_Toc361733091"/>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三</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文件的递交</w:t>
      </w:r>
      <w:bookmarkEnd w:id="10"/>
      <w:bookmarkEnd w:id="11"/>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bookmarkStart w:id="12" w:name="_Toc519068570"/>
      <w:bookmarkEnd w:id="12"/>
      <w:r>
        <w:rPr>
          <w:rFonts w:hint="eastAsia" w:ascii="仿宋" w:hAnsi="仿宋" w:eastAsia="仿宋" w:cs="仿宋"/>
          <w:b/>
          <w:color w:val="auto"/>
          <w:sz w:val="27"/>
          <w:szCs w:val="27"/>
          <w:highlight w:val="none"/>
          <w:lang w:val="en-US" w:eastAsia="zh-CN"/>
        </w:rPr>
        <w:t>7.</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的密封和标记</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.1</w:t>
      </w:r>
      <w:r>
        <w:rPr>
          <w:rFonts w:hint="eastAsia" w:ascii="仿宋" w:hAnsi="仿宋" w:eastAsia="仿宋" w:cs="仿宋"/>
          <w:b/>
          <w:color w:val="auto"/>
          <w:kern w:val="0"/>
          <w:sz w:val="27"/>
          <w:szCs w:val="27"/>
          <w:highlight w:val="none"/>
        </w:rPr>
        <w:t>投标人应将</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color w:val="auto"/>
          <w:kern w:val="0"/>
          <w:sz w:val="27"/>
          <w:szCs w:val="27"/>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.2封装袋应写明项目名称、项目编号、投标人名称并于封口处加盖骑缝章，并按注明的地址送达</w:t>
      </w:r>
      <w:r>
        <w:rPr>
          <w:rFonts w:hint="eastAsia" w:ascii="仿宋" w:hAnsi="仿宋" w:eastAsia="仿宋" w:cs="仿宋"/>
          <w:color w:val="auto"/>
          <w:kern w:val="0"/>
          <w:sz w:val="27"/>
          <w:szCs w:val="27"/>
          <w:highlight w:val="none"/>
          <w:lang w:eastAsia="zh-CN"/>
        </w:rPr>
        <w:t>投标</w:t>
      </w:r>
      <w:r>
        <w:rPr>
          <w:rFonts w:hint="eastAsia" w:ascii="仿宋" w:hAnsi="仿宋" w:eastAsia="仿宋" w:cs="仿宋"/>
          <w:color w:val="auto"/>
          <w:kern w:val="0"/>
          <w:sz w:val="27"/>
          <w:szCs w:val="27"/>
          <w:highlight w:val="none"/>
        </w:rPr>
        <w:t>地点。</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未按上述规定密封或加写标记，</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将被拒绝。</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8.</w:t>
      </w:r>
      <w:r>
        <w:rPr>
          <w:rFonts w:hint="eastAsia" w:ascii="仿宋" w:hAnsi="仿宋" w:eastAsia="仿宋" w:cs="仿宋"/>
          <w:b/>
          <w:bCs/>
          <w:color w:val="auto"/>
          <w:kern w:val="0"/>
          <w:sz w:val="27"/>
          <w:szCs w:val="27"/>
          <w:highlight w:val="none"/>
        </w:rPr>
        <w:t>投标截止期</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在投标截止期后递交的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kern w:val="0"/>
          <w:sz w:val="27"/>
          <w:szCs w:val="27"/>
          <w:highlight w:val="none"/>
        </w:rPr>
        <w:t>将拒绝接收。</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9.</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的修改和撤回</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.1在规定的投标截止期前，投标人可以书面形式提出修改或撤回其递交的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.2投标人的修改材料或撤回通知，应按规定进行编制、密封、标记和递交，且在密封袋上标明“</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修改”或“</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撤回通知”字样。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.3在投标截止期至</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文件规定的投标有效期终止日之间的这段时间内，投标人不能撤回</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，否则其投标保证金将不予退还。</w:t>
      </w:r>
    </w:p>
    <w:p>
      <w:pPr>
        <w:pStyle w:val="4"/>
        <w:spacing w:before="240" w:after="240"/>
        <w:jc w:val="center"/>
        <w:rPr>
          <w:rFonts w:hint="eastAsia" w:ascii="仿宋" w:hAnsi="仿宋" w:eastAsia="仿宋" w:cs="仿宋"/>
          <w:b/>
          <w:color w:val="auto"/>
          <w:sz w:val="32"/>
          <w:highlight w:val="none"/>
        </w:rPr>
      </w:pPr>
      <w:bookmarkStart w:id="13" w:name="_Toc549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四</w:t>
      </w:r>
      <w:r>
        <w:rPr>
          <w:rFonts w:hint="eastAsia" w:ascii="仿宋" w:hAnsi="仿宋" w:eastAsia="仿宋" w:cs="仿宋"/>
          <w:color w:val="auto"/>
          <w:kern w:val="0"/>
          <w:highlight w:val="none"/>
        </w:rPr>
        <w:t>）</w:t>
      </w:r>
      <w:bookmarkStart w:id="14" w:name="_Toc533775670"/>
      <w:r>
        <w:rPr>
          <w:rFonts w:hint="eastAsia" w:ascii="仿宋" w:hAnsi="仿宋" w:eastAsia="仿宋" w:cs="仿宋"/>
          <w:b/>
          <w:color w:val="auto"/>
          <w:sz w:val="32"/>
          <w:highlight w:val="none"/>
        </w:rPr>
        <w:t>谈判</w:t>
      </w:r>
      <w:bookmarkEnd w:id="14"/>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rPr>
        <w:t>. 谈判程序</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.1谈判小组对各供应商的谈判响应文件进行初审，并确定谈判内容。</w:t>
      </w:r>
      <w:r>
        <w:rPr>
          <w:rFonts w:hint="eastAsia" w:ascii="仿宋" w:hAnsi="仿宋" w:eastAsia="仿宋" w:cs="仿宋"/>
          <w:color w:val="auto"/>
          <w:kern w:val="0"/>
          <w:sz w:val="27"/>
          <w:szCs w:val="27"/>
          <w:highlight w:val="none"/>
        </w:rPr>
        <w:t>谈判响应文件的初审分为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GB"/>
        </w:rPr>
        <w:t>（1）资格性检查。依据法律法规和谈判</w:t>
      </w:r>
      <w:r>
        <w:rPr>
          <w:rFonts w:hint="eastAsia" w:ascii="仿宋" w:hAnsi="仿宋" w:eastAsia="仿宋" w:cs="仿宋"/>
          <w:color w:val="auto"/>
          <w:kern w:val="0"/>
          <w:sz w:val="27"/>
          <w:szCs w:val="27"/>
          <w:highlight w:val="none"/>
        </w:rPr>
        <w:t>文件“响应文件格式”的规定，对响应文件中的资格证明文件进行审查，以确定供应商是否具备参加谈判资格。</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（2）符合性检查。依据谈判文件的规定，从响应文件的有效性、完整性和对谈判文件的响应程度进行审查，以确定是否对谈判文件的实质性要求做出响应。</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未提交谈判响应书；</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2）未提交报价表；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val="en-GB"/>
        </w:rPr>
        <w:t>未提供谈判保证金或金额不足，谈判保证金形式不符合谈判文件要求的；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val="en-GB"/>
        </w:rPr>
        <w:t>未按谈判</w:t>
      </w:r>
      <w:r>
        <w:rPr>
          <w:rFonts w:hint="eastAsia" w:ascii="仿宋" w:hAnsi="仿宋" w:eastAsia="仿宋" w:cs="仿宋"/>
          <w:color w:val="auto"/>
          <w:kern w:val="0"/>
          <w:sz w:val="27"/>
          <w:szCs w:val="27"/>
          <w:highlight w:val="none"/>
        </w:rPr>
        <w:t>文件“响应文件</w:t>
      </w:r>
      <w:r>
        <w:rPr>
          <w:rFonts w:hint="eastAsia" w:ascii="仿宋" w:hAnsi="仿宋" w:eastAsia="仿宋" w:cs="仿宋"/>
          <w:color w:val="auto"/>
          <w:kern w:val="0"/>
          <w:sz w:val="27"/>
          <w:szCs w:val="27"/>
          <w:highlight w:val="none"/>
          <w:lang w:eastAsia="zh-CN"/>
        </w:rPr>
        <w:t>构成</w:t>
      </w:r>
      <w:r>
        <w:rPr>
          <w:rFonts w:hint="eastAsia" w:ascii="仿宋" w:hAnsi="仿宋" w:eastAsia="仿宋" w:cs="仿宋"/>
          <w:color w:val="auto"/>
          <w:kern w:val="0"/>
          <w:sz w:val="27"/>
          <w:szCs w:val="27"/>
          <w:highlight w:val="none"/>
        </w:rPr>
        <w:t>”的规定提供</w:t>
      </w:r>
      <w:r>
        <w:rPr>
          <w:rFonts w:hint="eastAsia" w:ascii="仿宋" w:hAnsi="仿宋" w:eastAsia="仿宋" w:cs="仿宋"/>
          <w:color w:val="auto"/>
          <w:kern w:val="0"/>
          <w:sz w:val="27"/>
          <w:szCs w:val="27"/>
          <w:highlight w:val="none"/>
          <w:lang w:val="en-GB"/>
        </w:rPr>
        <w:t>资格、资信证明文件的；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5）未按谈判文件要求签字、签章的，或签字（签章）人无法定代表人有效委托的；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6）谈判文件规定为国产产品，提供进口产品参加谈判的。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7）</w:t>
      </w:r>
      <w:r>
        <w:rPr>
          <w:rFonts w:hint="eastAsia" w:ascii="仿宋" w:hAnsi="仿宋" w:eastAsia="仿宋" w:cs="仿宋"/>
          <w:color w:val="auto"/>
          <w:kern w:val="0"/>
          <w:sz w:val="27"/>
          <w:szCs w:val="27"/>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9）谈判文件规定的其他响应无效条款。</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w:t>
      </w:r>
      <w:r>
        <w:rPr>
          <w:rFonts w:hint="eastAsia" w:ascii="仿宋" w:hAnsi="仿宋" w:eastAsia="仿宋" w:cs="仿宋"/>
          <w:color w:val="auto"/>
          <w:kern w:val="0"/>
          <w:sz w:val="27"/>
          <w:szCs w:val="27"/>
          <w:highlight w:val="none"/>
        </w:rPr>
        <w:t xml:space="preserve">谈判 </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11.1</w:t>
      </w:r>
      <w:r>
        <w:rPr>
          <w:rFonts w:hint="eastAsia" w:ascii="仿宋" w:hAnsi="仿宋" w:eastAsia="仿宋" w:cs="仿宋"/>
          <w:color w:val="auto"/>
          <w:kern w:val="0"/>
          <w:sz w:val="27"/>
          <w:szCs w:val="27"/>
          <w:highlight w:val="none"/>
        </w:rPr>
        <w:t>谈判文件修正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（2）对谈判文件做出的实质性变动是谈判文件的有效组成部分，谈判小组应当及时以书面形式同时通知所有参加谈判的供应商。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（3）供应商按照谈判文件的变动情况和谈判小组的要求重新提交响应文件，并由其法定代表人或授权代表签字或者加盖公章。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11.2</w:t>
      </w:r>
      <w:r>
        <w:rPr>
          <w:rFonts w:hint="eastAsia" w:ascii="仿宋" w:hAnsi="仿宋" w:eastAsia="仿宋" w:cs="仿宋"/>
          <w:color w:val="auto"/>
          <w:kern w:val="0"/>
          <w:sz w:val="27"/>
          <w:szCs w:val="27"/>
          <w:highlight w:val="none"/>
        </w:rPr>
        <w:t>.错误修正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2</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lang w:val="en-US" w:eastAsia="zh-CN"/>
        </w:rPr>
        <w:t>12</w:t>
      </w:r>
      <w:r>
        <w:rPr>
          <w:rFonts w:hint="eastAsia" w:ascii="仿宋" w:hAnsi="仿宋" w:eastAsia="仿宋" w:cs="仿宋"/>
          <w:color w:val="auto"/>
          <w:kern w:val="0"/>
          <w:sz w:val="27"/>
          <w:szCs w:val="27"/>
          <w:highlight w:val="none"/>
        </w:rPr>
        <w:t>.最后报价</w:t>
      </w:r>
      <w:r>
        <w:rPr>
          <w:rFonts w:hint="eastAsia" w:ascii="仿宋" w:hAnsi="仿宋" w:eastAsia="仿宋" w:cs="仿宋"/>
          <w:color w:val="auto"/>
          <w:kern w:val="0"/>
          <w:sz w:val="27"/>
          <w:szCs w:val="27"/>
          <w:highlight w:val="none"/>
          <w:lang w:eastAsia="zh-CN"/>
        </w:rPr>
        <w:t>和定标</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（1）谈判结束后，谈判小组要求所有继续参加谈判的供应商在规定时间内提交最后报价，提交最后报价的供应商不得少于3家；</w:t>
      </w:r>
      <w:r>
        <w:rPr>
          <w:rFonts w:hint="eastAsia" w:ascii="仿宋" w:hAnsi="仿宋" w:eastAsia="仿宋" w:cs="仿宋"/>
          <w:color w:val="auto"/>
          <w:kern w:val="0"/>
          <w:sz w:val="27"/>
          <w:szCs w:val="27"/>
          <w:highlight w:val="none"/>
          <w:lang w:eastAsia="zh-CN"/>
        </w:rPr>
        <w:t>本项目竞争性谈判预算单位为控制单价；</w:t>
      </w:r>
      <w:r>
        <w:rPr>
          <w:rFonts w:hint="eastAsia" w:ascii="仿宋" w:hAnsi="仿宋" w:eastAsia="仿宋" w:cs="仿宋"/>
          <w:color w:val="auto"/>
          <w:kern w:val="0"/>
          <w:sz w:val="27"/>
          <w:szCs w:val="27"/>
          <w:highlight w:val="none"/>
        </w:rPr>
        <w:t>最后报价超过了采购项目预算或</w:t>
      </w:r>
      <w:r>
        <w:rPr>
          <w:rFonts w:hint="eastAsia" w:ascii="仿宋" w:hAnsi="仿宋" w:eastAsia="仿宋" w:cs="仿宋"/>
          <w:color w:val="auto"/>
          <w:kern w:val="0"/>
          <w:sz w:val="27"/>
          <w:szCs w:val="27"/>
          <w:highlight w:val="none"/>
          <w:lang w:eastAsia="zh-CN"/>
        </w:rPr>
        <w:t>竞争性谈判控制单价</w:t>
      </w:r>
      <w:r>
        <w:rPr>
          <w:rFonts w:hint="eastAsia" w:ascii="仿宋" w:hAnsi="仿宋" w:eastAsia="仿宋" w:cs="仿宋"/>
          <w:color w:val="auto"/>
          <w:kern w:val="0"/>
          <w:sz w:val="27"/>
          <w:szCs w:val="27"/>
          <w:highlight w:val="none"/>
        </w:rPr>
        <w:t>的，</w:t>
      </w:r>
      <w:r>
        <w:rPr>
          <w:rFonts w:hint="eastAsia" w:ascii="仿宋" w:hAnsi="仿宋" w:eastAsia="仿宋" w:cs="仿宋"/>
          <w:color w:val="auto"/>
          <w:kern w:val="0"/>
          <w:sz w:val="27"/>
          <w:szCs w:val="27"/>
          <w:highlight w:val="none"/>
          <w:lang w:val="en-GB"/>
        </w:rPr>
        <w:t>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7"/>
          <w:szCs w:val="27"/>
          <w:highlight w:val="none"/>
          <w:lang w:val="en-US" w:eastAsia="zh-CN"/>
        </w:rPr>
        <w:t>鉴定、分类、组件（组卷）、排列、编号、编目、修裱、装订、编页、录入系统、装盒和排架等</w:t>
      </w:r>
      <w:r>
        <w:rPr>
          <w:rFonts w:hint="eastAsia" w:ascii="仿宋" w:hAnsi="仿宋" w:eastAsia="仿宋" w:cs="仿宋"/>
          <w:color w:val="auto"/>
          <w:kern w:val="0"/>
          <w:sz w:val="27"/>
          <w:szCs w:val="27"/>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rPr>
        <w:t>投标人的</w:t>
      </w:r>
      <w:r>
        <w:rPr>
          <w:rFonts w:hint="eastAsia" w:ascii="仿宋" w:hAnsi="仿宋" w:eastAsia="仿宋" w:cs="仿宋"/>
          <w:color w:val="auto"/>
          <w:kern w:val="0"/>
          <w:sz w:val="27"/>
          <w:szCs w:val="27"/>
          <w:highlight w:val="none"/>
          <w:lang w:eastAsia="zh-CN"/>
        </w:rPr>
        <w:t>分项</w:t>
      </w:r>
      <w:r>
        <w:rPr>
          <w:rFonts w:hint="eastAsia" w:ascii="仿宋" w:hAnsi="仿宋" w:eastAsia="仿宋" w:cs="仿宋"/>
          <w:color w:val="auto"/>
          <w:kern w:val="0"/>
          <w:sz w:val="27"/>
          <w:szCs w:val="27"/>
          <w:highlight w:val="none"/>
        </w:rPr>
        <w:t>投标</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小于或等于</w:t>
      </w:r>
      <w:r>
        <w:rPr>
          <w:rFonts w:hint="eastAsia" w:ascii="仿宋" w:hAnsi="仿宋" w:eastAsia="仿宋" w:cs="仿宋"/>
          <w:color w:val="auto"/>
          <w:kern w:val="0"/>
          <w:sz w:val="27"/>
          <w:szCs w:val="27"/>
          <w:highlight w:val="none"/>
          <w:lang w:eastAsia="zh-CN"/>
        </w:rPr>
        <w:t>分项竞争性谈判</w:t>
      </w:r>
      <w:r>
        <w:rPr>
          <w:rFonts w:hint="eastAsia" w:ascii="仿宋" w:hAnsi="仿宋" w:eastAsia="仿宋" w:cs="仿宋"/>
          <w:color w:val="auto"/>
          <w:kern w:val="0"/>
          <w:sz w:val="27"/>
          <w:szCs w:val="27"/>
          <w:highlight w:val="none"/>
        </w:rPr>
        <w:t>控制</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为有效报价，否则视为无效报价作废标处理。所有有效投标报价按</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从低到高的顺序</w:t>
      </w:r>
      <w:r>
        <w:rPr>
          <w:rFonts w:hint="eastAsia" w:ascii="仿宋" w:hAnsi="仿宋" w:eastAsia="仿宋" w:cs="仿宋"/>
          <w:color w:val="auto"/>
          <w:kern w:val="0"/>
          <w:sz w:val="27"/>
          <w:szCs w:val="27"/>
          <w:highlight w:val="none"/>
          <w:lang w:eastAsia="zh-CN"/>
        </w:rPr>
        <w:t>依次</w:t>
      </w:r>
      <w:r>
        <w:rPr>
          <w:rFonts w:hint="eastAsia" w:ascii="仿宋" w:hAnsi="仿宋" w:eastAsia="仿宋" w:cs="仿宋"/>
          <w:color w:val="auto"/>
          <w:kern w:val="0"/>
          <w:sz w:val="27"/>
          <w:szCs w:val="27"/>
          <w:highlight w:val="none"/>
        </w:rPr>
        <w:t>进行排序，</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（4）</w:t>
      </w:r>
      <w:r>
        <w:rPr>
          <w:rFonts w:hint="eastAsia" w:ascii="仿宋" w:hAnsi="仿宋" w:eastAsia="仿宋" w:cs="仿宋"/>
          <w:color w:val="auto"/>
          <w:kern w:val="0"/>
          <w:sz w:val="27"/>
          <w:szCs w:val="27"/>
          <w:highlight w:val="none"/>
        </w:rPr>
        <w:t>当出现二个或以上相同的有效最低投标</w:t>
      </w:r>
      <w:r>
        <w:rPr>
          <w:rFonts w:hint="eastAsia" w:ascii="仿宋" w:hAnsi="仿宋" w:eastAsia="仿宋" w:cs="仿宋"/>
          <w:color w:val="auto"/>
          <w:kern w:val="0"/>
          <w:sz w:val="27"/>
          <w:szCs w:val="27"/>
          <w:highlight w:val="none"/>
          <w:lang w:eastAsia="zh-CN"/>
        </w:rPr>
        <w:t>单价总和</w:t>
      </w:r>
      <w:r>
        <w:rPr>
          <w:rFonts w:hint="eastAsia" w:ascii="仿宋" w:hAnsi="仿宋" w:eastAsia="仿宋" w:cs="仿宋"/>
          <w:color w:val="auto"/>
          <w:kern w:val="0"/>
          <w:sz w:val="27"/>
          <w:szCs w:val="27"/>
          <w:highlight w:val="none"/>
        </w:rPr>
        <w:t>时，采用抽签的方式确定中标人。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5" w:name="_Toc376848253"/>
      <w:r>
        <w:rPr>
          <w:rFonts w:hint="eastAsia" w:ascii="仿宋" w:hAnsi="仿宋" w:eastAsia="仿宋" w:cs="仿宋"/>
          <w:color w:val="auto"/>
          <w:kern w:val="0"/>
          <w:sz w:val="27"/>
          <w:szCs w:val="27"/>
          <w:highlight w:val="none"/>
          <w:lang w:val="en-US" w:eastAsia="zh-CN"/>
        </w:rPr>
        <w:t>13</w:t>
      </w:r>
      <w:r>
        <w:rPr>
          <w:rFonts w:hint="eastAsia" w:ascii="仿宋" w:hAnsi="仿宋" w:eastAsia="仿宋" w:cs="仿宋"/>
          <w:color w:val="auto"/>
          <w:kern w:val="0"/>
          <w:sz w:val="27"/>
          <w:szCs w:val="27"/>
          <w:highlight w:val="none"/>
        </w:rPr>
        <w:t>.终止谈判采购活动的情形</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出现下列情形之一的，终止谈判采购活动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（1）因情况变化，不再符合规定的谈判采购方式适用情形的；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（2）出现影响采购公正的违法、违规行为的。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（3）在采购过程中符合竞争要求的供应商或者报价未超过采购预算的供应商不足3家的。</w:t>
      </w:r>
      <w:bookmarkStart w:id="16" w:name="_Toc377297026"/>
    </w:p>
    <w:bookmarkEnd w:id="15"/>
    <w:bookmarkEnd w:id="16"/>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7" w:name="_Toc286758340"/>
      <w:r>
        <w:rPr>
          <w:rFonts w:hint="eastAsia" w:ascii="仿宋" w:hAnsi="仿宋" w:eastAsia="仿宋" w:cs="仿宋"/>
          <w:color w:val="auto"/>
          <w:kern w:val="0"/>
          <w:sz w:val="27"/>
          <w:szCs w:val="27"/>
          <w:highlight w:val="none"/>
          <w:lang w:val="en-US" w:eastAsia="zh-CN"/>
        </w:rPr>
        <w:t>14.</w:t>
      </w:r>
      <w:r>
        <w:rPr>
          <w:rFonts w:hint="eastAsia" w:ascii="仿宋" w:hAnsi="仿宋" w:eastAsia="仿宋" w:cs="仿宋"/>
          <w:color w:val="auto"/>
          <w:kern w:val="0"/>
          <w:sz w:val="27"/>
          <w:szCs w:val="27"/>
          <w:highlight w:val="none"/>
        </w:rPr>
        <w:t xml:space="preserve"> </w:t>
      </w:r>
      <w:bookmarkEnd w:id="17"/>
      <w:r>
        <w:rPr>
          <w:rFonts w:hint="eastAsia" w:ascii="仿宋" w:hAnsi="仿宋" w:eastAsia="仿宋" w:cs="仿宋"/>
          <w:color w:val="auto"/>
          <w:kern w:val="0"/>
          <w:sz w:val="27"/>
          <w:szCs w:val="27"/>
          <w:highlight w:val="none"/>
        </w:rPr>
        <w:t>成交结果公告</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成交供应商确定后，赣州市</w:t>
      </w:r>
      <w:r>
        <w:rPr>
          <w:rFonts w:hint="eastAsia" w:ascii="仿宋" w:hAnsi="仿宋" w:eastAsia="仿宋" w:cs="仿宋"/>
          <w:color w:val="auto"/>
          <w:kern w:val="0"/>
          <w:sz w:val="27"/>
          <w:szCs w:val="27"/>
          <w:highlight w:val="none"/>
          <w:lang w:eastAsia="zh-CN"/>
        </w:rPr>
        <w:t>肿瘤医院</w:t>
      </w:r>
      <w:r>
        <w:rPr>
          <w:rFonts w:hint="eastAsia" w:ascii="仿宋" w:hAnsi="仿宋" w:eastAsia="仿宋" w:cs="仿宋"/>
          <w:color w:val="auto"/>
          <w:kern w:val="0"/>
          <w:sz w:val="27"/>
          <w:szCs w:val="27"/>
          <w:highlight w:val="none"/>
        </w:rPr>
        <w:t>网上公告成交结果，公告期限为1个工作日。向成交供应商发出成交通知书。成交通知书是合同的一个组成部分。</w:t>
      </w:r>
    </w:p>
    <w:bookmarkEnd w:id="13"/>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highlight w:val="none"/>
        </w:rPr>
      </w:pPr>
      <w:bookmarkStart w:id="18" w:name="_Toc519"/>
      <w:bookmarkStart w:id="19" w:name="_Toc29202"/>
      <w:bookmarkStart w:id="20" w:name="_Toc361733094"/>
      <w:r>
        <w:rPr>
          <w:rFonts w:hint="eastAsia" w:ascii="仿宋" w:hAnsi="仿宋" w:eastAsia="仿宋" w:cs="仿宋"/>
          <w:color w:val="auto"/>
          <w:highlight w:val="none"/>
        </w:rPr>
        <w:t>（</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）授予合同</w:t>
      </w:r>
      <w:bookmarkEnd w:id="18"/>
      <w:bookmarkEnd w:id="1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15.</w:t>
      </w:r>
      <w:r>
        <w:rPr>
          <w:rFonts w:hint="eastAsia" w:ascii="仿宋" w:hAnsi="仿宋" w:eastAsia="仿宋" w:cs="仿宋"/>
          <w:b/>
          <w:color w:val="auto"/>
          <w:sz w:val="27"/>
          <w:szCs w:val="27"/>
          <w:highlight w:val="none"/>
          <w:lang w:eastAsia="zh-CN"/>
        </w:rPr>
        <w:t>成交</w:t>
      </w:r>
      <w:r>
        <w:rPr>
          <w:rFonts w:hint="eastAsia" w:ascii="仿宋" w:hAnsi="仿宋" w:eastAsia="仿宋" w:cs="仿宋"/>
          <w:b/>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在中标人确定后2个工作日内向中标人发出《</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通知书》是合同的一个组成部分。</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16.</w:t>
      </w:r>
      <w:r>
        <w:rPr>
          <w:rFonts w:hint="eastAsia" w:ascii="仿宋" w:hAnsi="仿宋" w:eastAsia="仿宋" w:cs="仿宋"/>
          <w:b/>
          <w:color w:val="auto"/>
          <w:sz w:val="27"/>
          <w:szCs w:val="27"/>
          <w:highlight w:val="none"/>
        </w:rPr>
        <w:t>签订合同</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.1 中标人应</w:t>
      </w:r>
      <w:r>
        <w:rPr>
          <w:rFonts w:hint="eastAsia" w:ascii="仿宋" w:hAnsi="仿宋" w:eastAsia="仿宋" w:cs="仿宋"/>
          <w:color w:val="auto"/>
          <w:kern w:val="0"/>
          <w:sz w:val="27"/>
          <w:szCs w:val="27"/>
          <w:highlight w:val="none"/>
        </w:rPr>
        <w:t>自</w:t>
      </w:r>
      <w:r>
        <w:rPr>
          <w:rFonts w:hint="eastAsia" w:ascii="仿宋" w:hAnsi="仿宋" w:eastAsia="仿宋" w:cs="仿宋"/>
          <w:color w:val="auto"/>
          <w:kern w:val="0"/>
          <w:sz w:val="27"/>
          <w:szCs w:val="27"/>
          <w:highlight w:val="none"/>
          <w:lang w:eastAsia="zh-CN"/>
        </w:rPr>
        <w:t>成交</w:t>
      </w:r>
      <w:r>
        <w:rPr>
          <w:rFonts w:hint="eastAsia" w:ascii="仿宋" w:hAnsi="仿宋" w:eastAsia="仿宋" w:cs="仿宋"/>
          <w:color w:val="auto"/>
          <w:kern w:val="0"/>
          <w:sz w:val="27"/>
          <w:szCs w:val="27"/>
          <w:highlight w:val="none"/>
        </w:rPr>
        <w:t>公示期</w:t>
      </w:r>
      <w:r>
        <w:rPr>
          <w:rFonts w:hint="eastAsia" w:ascii="仿宋" w:hAnsi="仿宋" w:eastAsia="仿宋" w:cs="仿宋"/>
          <w:color w:val="auto"/>
          <w:kern w:val="0"/>
          <w:sz w:val="27"/>
          <w:szCs w:val="27"/>
          <w:highlight w:val="none"/>
          <w:lang w:eastAsia="zh-CN"/>
        </w:rPr>
        <w:t>（一个工作日）</w:t>
      </w:r>
      <w:r>
        <w:rPr>
          <w:rFonts w:hint="eastAsia" w:ascii="仿宋" w:hAnsi="仿宋" w:eastAsia="仿宋" w:cs="仿宋"/>
          <w:color w:val="auto"/>
          <w:kern w:val="0"/>
          <w:sz w:val="27"/>
          <w:szCs w:val="27"/>
          <w:highlight w:val="none"/>
        </w:rPr>
        <w:t>结束且质疑期届满之日起3日内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签订合同，否则按投标有效期内撤回其投标处理。</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 xml:space="preserve">.2 </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文件、中标人的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及评标过程中有关澄清文件均应作为合同附件。</w:t>
      </w:r>
    </w:p>
    <w:bookmarkEnd w:id="20"/>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numPr>
          <w:ilvl w:val="0"/>
          <w:numId w:val="0"/>
        </w:numPr>
        <w:ind w:leftChars="0"/>
        <w:rPr>
          <w:rFonts w:hint="eastAsia" w:ascii="仿宋" w:hAnsi="仿宋" w:eastAsia="仿宋" w:cs="仿宋"/>
          <w:color w:val="auto"/>
          <w:kern w:val="0"/>
          <w:sz w:val="32"/>
          <w:szCs w:val="32"/>
          <w:highlight w:val="none"/>
          <w:lang w:val="en-US" w:eastAsia="zh-CN"/>
        </w:rPr>
      </w:pPr>
    </w:p>
    <w:p>
      <w:pPr>
        <w:pStyle w:val="2"/>
        <w:numPr>
          <w:ilvl w:val="0"/>
          <w:numId w:val="2"/>
        </w:numPr>
        <w:ind w:left="0" w:leftChars="0" w:firstLine="0" w:firstLineChars="0"/>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采购需求</w:t>
      </w:r>
    </w:p>
    <w:p>
      <w:pPr>
        <w:pStyle w:val="5"/>
        <w:ind w:left="0" w:leftChars="0" w:firstLine="0" w:firstLineChars="0"/>
        <w:jc w:val="both"/>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一</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、项目概况及预算情况</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1、项目概况：</w:t>
      </w:r>
      <w:r>
        <w:rPr>
          <w:rFonts w:hint="eastAsia" w:ascii="仿宋" w:hAnsi="仿宋" w:eastAsia="仿宋" w:cs="仿宋"/>
          <w:sz w:val="28"/>
          <w:szCs w:val="28"/>
          <w:highlight w:val="none"/>
        </w:rPr>
        <w:t>彩超</w:t>
      </w:r>
      <w:r>
        <w:rPr>
          <w:rFonts w:hint="eastAsia" w:ascii="仿宋" w:hAnsi="仿宋" w:eastAsia="仿宋" w:cs="仿宋"/>
          <w:sz w:val="28"/>
          <w:szCs w:val="28"/>
          <w:highlight w:val="none"/>
          <w:lang w:val="en-US" w:eastAsia="zh-CN"/>
        </w:rPr>
        <w:t>心脏</w:t>
      </w:r>
      <w:r>
        <w:rPr>
          <w:rFonts w:hint="eastAsia" w:ascii="仿宋" w:hAnsi="仿宋" w:eastAsia="仿宋" w:cs="仿宋"/>
          <w:sz w:val="28"/>
          <w:szCs w:val="28"/>
          <w:highlight w:val="none"/>
        </w:rPr>
        <w:t>探头采购</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2、预算情况：6 </w:t>
      </w:r>
      <w:r>
        <w:rPr>
          <w:rFonts w:hint="eastAsia" w:ascii="仿宋" w:hAnsi="仿宋" w:eastAsia="仿宋" w:cs="仿宋"/>
          <w:sz w:val="28"/>
          <w:szCs w:val="28"/>
          <w:highlight w:val="none"/>
        </w:rPr>
        <w:t>万元</w:t>
      </w:r>
      <w:r>
        <w:rPr>
          <w:rFonts w:hint="eastAsia" w:ascii="仿宋" w:hAnsi="仿宋" w:eastAsia="仿宋" w:cs="仿宋"/>
          <w:sz w:val="28"/>
          <w:szCs w:val="28"/>
          <w:highlight w:val="none"/>
        </w:rPr>
        <w:t>，招标控制价</w:t>
      </w:r>
      <w:r>
        <w:rPr>
          <w:rFonts w:hint="eastAsia" w:ascii="仿宋" w:hAnsi="仿宋" w:eastAsia="仿宋" w:cs="仿宋"/>
          <w:sz w:val="28"/>
          <w:szCs w:val="28"/>
          <w:highlight w:val="none"/>
          <w:lang w:val="en-US" w:eastAsia="zh-CN"/>
        </w:rPr>
        <w:t>5.6</w:t>
      </w:r>
      <w:r>
        <w:rPr>
          <w:rFonts w:hint="eastAsia" w:ascii="仿宋" w:hAnsi="仿宋" w:eastAsia="仿宋" w:cs="仿宋"/>
          <w:sz w:val="28"/>
          <w:szCs w:val="28"/>
          <w:highlight w:val="none"/>
        </w:rPr>
        <w:t>万元</w:t>
      </w:r>
      <w:r>
        <w:rPr>
          <w:rFonts w:hint="eastAsia" w:ascii="仿宋" w:hAnsi="仿宋" w:eastAsia="仿宋" w:cs="仿宋"/>
          <w:sz w:val="28"/>
          <w:szCs w:val="28"/>
          <w:highlight w:val="none"/>
        </w:rPr>
        <w:t xml:space="preserve">  </w:t>
      </w:r>
    </w:p>
    <w:p>
      <w:pPr>
        <w:pStyle w:val="5"/>
        <w:ind w:left="0" w:leftChars="0" w:firstLine="0" w:firstLineChars="0"/>
        <w:jc w:val="both"/>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二</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、采购项目具体情况</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1、采购项目名称：</w:t>
      </w:r>
      <w:r>
        <w:rPr>
          <w:rFonts w:hint="eastAsia" w:ascii="仿宋" w:hAnsi="仿宋" w:eastAsia="仿宋" w:cs="仿宋"/>
          <w:sz w:val="28"/>
          <w:szCs w:val="28"/>
          <w:highlight w:val="none"/>
        </w:rPr>
        <w:t>彩超</w:t>
      </w:r>
      <w:r>
        <w:rPr>
          <w:rFonts w:hint="eastAsia" w:ascii="仿宋" w:hAnsi="仿宋" w:eastAsia="仿宋" w:cs="仿宋"/>
          <w:sz w:val="28"/>
          <w:szCs w:val="28"/>
          <w:highlight w:val="none"/>
          <w:lang w:val="en-US" w:eastAsia="zh-CN"/>
        </w:rPr>
        <w:t>心脏</w:t>
      </w:r>
      <w:r>
        <w:rPr>
          <w:rFonts w:hint="eastAsia" w:ascii="仿宋" w:hAnsi="仿宋" w:eastAsia="仿宋" w:cs="仿宋"/>
          <w:sz w:val="28"/>
          <w:szCs w:val="28"/>
          <w:highlight w:val="none"/>
        </w:rPr>
        <w:t>探头</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2、供货时间要求：</w:t>
      </w:r>
      <w:r>
        <w:rPr>
          <w:rFonts w:hint="eastAsia" w:ascii="仿宋" w:hAnsi="仿宋" w:eastAsia="仿宋" w:cs="仿宋"/>
          <w:sz w:val="28"/>
          <w:szCs w:val="28"/>
          <w:highlight w:val="none"/>
        </w:rPr>
        <w:t>30天</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3、供货地点：赣州市肿瘤医院指定地点</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4、质保期：见采购需求</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5、质量要求：见采购需求</w:t>
      </w:r>
    </w:p>
    <w:p>
      <w:pPr>
        <w:rPr>
          <w:rFonts w:hint="eastAsia" w:ascii="仿宋" w:hAnsi="仿宋" w:eastAsia="仿宋" w:cs="仿宋"/>
          <w:b/>
          <w:bCs/>
          <w:kern w:val="0"/>
          <w:sz w:val="28"/>
          <w:szCs w:val="28"/>
          <w:highlight w:val="none"/>
        </w:rPr>
      </w:pPr>
      <w:r>
        <w:rPr>
          <w:rFonts w:hint="eastAsia" w:ascii="仿宋" w:hAnsi="仿宋" w:eastAsia="仿宋" w:cs="仿宋"/>
          <w:sz w:val="28"/>
          <w:szCs w:val="28"/>
          <w:highlight w:val="none"/>
        </w:rPr>
        <w:t>6、履约保证金及退回方式：成交供应商还须缴纳履约保证金（履约保证金以银行转账（电汇）、支票、汇票、本票或者金融机构、担保机构出具的保函等非现金形式提交），按成交金额的5%缴纳履约保证金。履约保证金由采购人收取，根据采购合同约定，待成交供应商履行完合同约定义务后一次性无息退还。</w:t>
      </w:r>
    </w:p>
    <w:p>
      <w:pPr>
        <w:pStyle w:val="40"/>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7、付款方式：</w:t>
      </w:r>
      <w:r>
        <w:rPr>
          <w:rFonts w:hint="eastAsia" w:ascii="仿宋" w:hAnsi="仿宋" w:eastAsia="仿宋" w:cs="仿宋"/>
          <w:sz w:val="28"/>
          <w:szCs w:val="28"/>
          <w:highlight w:val="none"/>
        </w:rPr>
        <w:t>合同签订、货物送达、安装调试、培训完成且验收合格,收到符合国家法律规定的税票后30天内支付合同总额的100%。</w:t>
      </w:r>
    </w:p>
    <w:p>
      <w:pPr>
        <w:pStyle w:val="5"/>
        <w:ind w:left="0" w:leftChars="0" w:firstLine="0" w:firstLineChars="0"/>
        <w:jc w:val="both"/>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三</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、采购需求及技术参数要求：</w:t>
      </w:r>
    </w:p>
    <w:p>
      <w:pPr>
        <w:widowControl/>
        <w:ind w:firstLine="560" w:firstLineChars="200"/>
        <w:jc w:val="left"/>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匹配迈瑞M7便携式彩超全新心脏探头1把</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质保三年。</w:t>
      </w:r>
      <w:bookmarkStart w:id="63" w:name="_GoBack"/>
      <w:bookmarkEnd w:id="63"/>
    </w:p>
    <w:p>
      <w:pPr>
        <w:rPr>
          <w:rFonts w:hint="eastAsia"/>
        </w:rPr>
      </w:pPr>
    </w:p>
    <w:p>
      <w:pPr>
        <w:pStyle w:val="5"/>
        <w:ind w:left="0" w:leftChars="0" w:firstLine="0" w:firstLineChars="0"/>
        <w:jc w:val="both"/>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四</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、其他商务要求：</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1、交货地点：采购人指定地点。</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2、交货时间：</w:t>
      </w:r>
      <w:r>
        <w:rPr>
          <w:rFonts w:hint="eastAsia" w:ascii="仿宋" w:hAnsi="仿宋" w:eastAsia="仿宋" w:cs="仿宋"/>
          <w:sz w:val="28"/>
          <w:szCs w:val="28"/>
          <w:highlight w:val="none"/>
        </w:rPr>
        <w:t>30天</w:t>
      </w:r>
      <w:r>
        <w:rPr>
          <w:rFonts w:hint="eastAsia" w:ascii="仿宋" w:hAnsi="仿宋" w:eastAsia="仿宋" w:cs="仿宋"/>
          <w:sz w:val="28"/>
          <w:szCs w:val="28"/>
          <w:highlight w:val="none"/>
        </w:rPr>
        <w:t>。</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本项目为交钥匙工程，成交供应商必须在合同签订后 </w:t>
      </w:r>
      <w:r>
        <w:rPr>
          <w:rFonts w:hint="eastAsia" w:ascii="仿宋" w:hAnsi="仿宋" w:eastAsia="仿宋" w:cs="仿宋"/>
          <w:sz w:val="28"/>
          <w:szCs w:val="28"/>
          <w:highlight w:val="none"/>
        </w:rPr>
        <w:t>30天</w:t>
      </w:r>
      <w:r>
        <w:rPr>
          <w:rFonts w:hint="eastAsia" w:ascii="仿宋" w:hAnsi="仿宋" w:eastAsia="仿宋" w:cs="仿宋"/>
          <w:sz w:val="28"/>
          <w:szCs w:val="28"/>
          <w:highlight w:val="none"/>
        </w:rPr>
        <w:t>内供货、安装、调试，交付使用，并做好相关培训工作。</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3、验收</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由采购人进行验收，设备完成安装调试达到可使用状态后试用30天内无故障并收到成交供应商书面验收申请后按成交供应商响应文件逐条进行正式验收。如有必要，可请第三方验收。</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到货验收：货物送至采购人安装现场后，成交供应商和采购人一同拆箱，对其全部货物、零件、配件的型号、规格、数量、外型、外观、包装进行到货验收。成交供应商须提供全新、原装，并符合质量标准的货物。货物的生产日期应在交货日期前半年之内。成交供应商应将每台设备和仪器的中文技术资料一套，如目录索引、图纸、技术说明书、操作手册、使用指南、合格证等技术资料在验收时一并交给采购人。技术说明书、操作手册应同时提供电子版交给采购人。若成交供应商未将上述资料交与采购人，视为成交供应商供应的设备仪器来源不合法，采购人有权拒收并由成交供应商承担合同总额20%的违约责任。采购人有权要求成交供应商重新提供设备仪器，也有权决定解除合同的履行。</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试运行：如在试用期间设备发生故障，以故障解决之日起重新计算试用时间，如验收前发生3次及以上设备故障，成交供应商需更换全新设备，更换设备后重新计算试用时间，更换后的设备在试用期仍出现3次及以上设备故障，采购人有权解除合同。</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正式验收：采购人将按照采购合同规定的技术、服务、安全标准组织验收，并出具验收书。验收结果经双方确认后，双方代表必须按规定的验收交接单上的项目对照本合同填好验收结果并签名盖章。验收过程中，若发现货物质量有问题成交供应商无条件免费更换，并无条件重新检测并调试直至验收合格交付使用。</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4、售后服务</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4.1、相关售后服务响应承诺及资料</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（1）安装和调试：成交供应商负责派厂家技术人员到现场进行免费安装调试，直至验收合格；成交供应商应在设备运抵现场一周前，向采购人提供设备安装调试及运行的进度计划表。</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（2）技术培训：成交供应商应负责对采购人人员进行现场培训，直至采购人人员能完全操作和维护设备。</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（3）免费质量保证（修）期：所投货物必须提供</w:t>
      </w:r>
      <w:r>
        <w:rPr>
          <w:rFonts w:hint="eastAsia" w:ascii="仿宋" w:hAnsi="仿宋" w:eastAsia="仿宋" w:cs="仿宋"/>
          <w:sz w:val="28"/>
          <w:szCs w:val="28"/>
          <w:highlight w:val="none"/>
        </w:rPr>
        <w:t>叁</w:t>
      </w:r>
      <w:r>
        <w:rPr>
          <w:rFonts w:hint="eastAsia" w:ascii="仿宋" w:hAnsi="仿宋" w:eastAsia="仿宋" w:cs="仿宋"/>
          <w:sz w:val="28"/>
          <w:szCs w:val="28"/>
          <w:highlight w:val="none"/>
        </w:rPr>
        <w:t>年（含</w:t>
      </w:r>
      <w:r>
        <w:rPr>
          <w:rFonts w:hint="eastAsia" w:ascii="仿宋" w:hAnsi="仿宋" w:eastAsia="仿宋" w:cs="仿宋"/>
          <w:sz w:val="28"/>
          <w:szCs w:val="28"/>
          <w:highlight w:val="none"/>
        </w:rPr>
        <w:t>叁</w:t>
      </w:r>
      <w:r>
        <w:rPr>
          <w:rFonts w:hint="eastAsia" w:ascii="仿宋" w:hAnsi="仿宋" w:eastAsia="仿宋" w:cs="仿宋"/>
          <w:sz w:val="28"/>
          <w:szCs w:val="28"/>
          <w:highlight w:val="none"/>
        </w:rPr>
        <w:t>年，采购需求另有规定除外）以上的质保期，质保期经安装调试、验收合格之日起计算。（技术参数要求有规定的，以其规定为准，投标人有优于招标文件承诺的以其承诺为准）。质保期内，成交供应商负责对其提供的货物和工程进行维修和附件（包括耗材）的维护，不再收取任何费用。</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（4）故障响应时间：如果设备发生故障，成交供应商需按照约定的时间处理故障，违约金按到场时间每迟一天，按合同总价的</w:t>
      </w:r>
      <w:r>
        <w:rPr>
          <w:rFonts w:hint="eastAsia" w:ascii="仿宋" w:hAnsi="仿宋" w:eastAsia="仿宋" w:cs="仿宋"/>
          <w:sz w:val="28"/>
          <w:szCs w:val="28"/>
          <w:highlight w:val="none"/>
        </w:rPr>
        <w:t>2‰</w:t>
      </w:r>
      <w:r>
        <w:rPr>
          <w:rFonts w:hint="eastAsia" w:ascii="仿宋" w:hAnsi="仿宋" w:eastAsia="仿宋" w:cs="仿宋"/>
          <w:sz w:val="28"/>
          <w:szCs w:val="28"/>
          <w:highlight w:val="none"/>
        </w:rPr>
        <w:t>计收，不足一天超过12小时算一天。在没有备用机使用的情况下，如果设备连续故障超过1个月，采购人有权选择下列方式之一处理：（1）解除合同、不支付任何费用且要求成交供应商返还已支付货款；（2）要求成交供应商更换全新原装设备；（3）采购人有权选择第三方公司维修，所产生费用由成交供应商支付。</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5）质保期满后，成交供应商应提供终身维修，用户只付零配件的费用，能长期提供良好的技术支持及零部件的优惠供应。提供质保期结束后延保服务收费标准、零配件名称、零配件供应价格、全国统一最低报价清单，凡未列入清单的零配件视为免费提供。</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（6）由制造商或国内授权代理商出具售后服务承诺书。</w:t>
      </w:r>
    </w:p>
    <w:p>
      <w:pPr>
        <w:pStyle w:val="2"/>
        <w:rPr>
          <w:rFonts w:hint="eastAsia" w:ascii="仿宋" w:hAnsi="仿宋" w:eastAsia="仿宋" w:cs="仿宋"/>
          <w:sz w:val="28"/>
          <w:szCs w:val="28"/>
          <w:highlight w:val="none"/>
        </w:rPr>
      </w:pPr>
    </w:p>
    <w:p>
      <w:pPr>
        <w:pStyle w:val="3"/>
        <w:rPr>
          <w:rFonts w:hint="eastAsia" w:ascii="仿宋" w:hAnsi="仿宋" w:eastAsia="仿宋" w:cs="仿宋"/>
          <w:sz w:val="28"/>
          <w:szCs w:val="28"/>
          <w:highlight w:val="none"/>
        </w:rPr>
      </w:pPr>
    </w:p>
    <w:p>
      <w:pPr>
        <w:pStyle w:val="3"/>
        <w:rPr>
          <w:rFonts w:hint="eastAsia" w:ascii="仿宋" w:hAnsi="仿宋" w:eastAsia="仿宋" w:cs="仿宋"/>
          <w:sz w:val="28"/>
          <w:szCs w:val="28"/>
          <w:highlight w:val="none"/>
        </w:rPr>
      </w:pPr>
    </w:p>
    <w:p>
      <w:pPr>
        <w:pStyle w:val="3"/>
        <w:rPr>
          <w:rFonts w:hint="eastAsia" w:ascii="仿宋" w:hAnsi="仿宋" w:eastAsia="仿宋" w:cs="仿宋"/>
          <w:sz w:val="28"/>
          <w:szCs w:val="28"/>
          <w:highlight w:val="none"/>
        </w:rPr>
      </w:pPr>
    </w:p>
    <w:p>
      <w:pPr>
        <w:widowControl/>
        <w:ind w:firstLine="0" w:firstLineChars="0"/>
        <w:jc w:val="left"/>
        <w:rPr>
          <w:rFonts w:hint="eastAsia" w:ascii="仿宋" w:hAnsi="仿宋" w:eastAsia="仿宋" w:cs="仿宋"/>
          <w:sz w:val="28"/>
          <w:szCs w:val="28"/>
          <w:highlight w:val="none"/>
        </w:rPr>
      </w:pPr>
    </w:p>
    <w:p>
      <w:pPr>
        <w:pStyle w:val="3"/>
        <w:numPr>
          <w:ilvl w:val="0"/>
          <w:numId w:val="0"/>
        </w:numPr>
        <w:ind w:leftChars="0"/>
        <w:rPr>
          <w:rFonts w:hint="eastAsia"/>
          <w:highlight w:val="none"/>
          <w:lang w:val="en-US" w:eastAsia="zh-CN"/>
        </w:rPr>
      </w:pPr>
    </w:p>
    <w:p>
      <w:pPr>
        <w:pStyle w:val="4"/>
        <w:jc w:val="both"/>
        <w:rPr>
          <w:rFonts w:hint="eastAsia" w:ascii="仿宋" w:hAnsi="仿宋" w:eastAsia="仿宋" w:cs="仿宋"/>
          <w:color w:val="auto"/>
          <w:highlight w:val="none"/>
        </w:rPr>
      </w:pPr>
    </w:p>
    <w:p>
      <w:pPr>
        <w:pStyle w:val="4"/>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p>
    <w:p>
      <w:pPr>
        <w:jc w:val="center"/>
        <w:rPr>
          <w:rFonts w:hint="eastAsia" w:ascii="仿宋" w:hAnsi="仿宋" w:eastAsia="仿宋" w:cs="仿宋"/>
          <w:color w:val="auto"/>
          <w:sz w:val="84"/>
          <w:szCs w:val="84"/>
          <w:highlight w:val="none"/>
          <w:lang w:eastAsia="zh-CN"/>
        </w:rPr>
      </w:pPr>
    </w:p>
    <w:p>
      <w:pPr>
        <w:pStyle w:val="9"/>
        <w:rPr>
          <w:rFonts w:hint="eastAsia" w:ascii="仿宋" w:hAnsi="仿宋" w:eastAsia="仿宋" w:cs="仿宋"/>
          <w:color w:val="auto"/>
          <w:sz w:val="2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5"/>
        <w:spacing w:before="0" w:after="0" w:line="460" w:lineRule="exact"/>
        <w:ind w:left="0" w:leftChars="0" w:firstLine="0" w:firstLineChars="0"/>
        <w:jc w:val="center"/>
        <w:rPr>
          <w:rFonts w:hint="eastAsia" w:ascii="仿宋" w:hAnsi="仿宋" w:eastAsia="仿宋" w:cs="仿宋"/>
          <w:color w:val="auto"/>
          <w:highlight w:val="none"/>
        </w:rPr>
      </w:pPr>
      <w:bookmarkStart w:id="21" w:name="_Toc5315"/>
      <w:bookmarkStart w:id="22" w:name="_Toc919"/>
    </w:p>
    <w:p>
      <w:pPr>
        <w:pStyle w:val="5"/>
        <w:spacing w:before="0" w:after="0" w:line="460" w:lineRule="exact"/>
        <w:ind w:left="0" w:leftChars="0" w:firstLine="0" w:firstLineChars="0"/>
        <w:jc w:val="center"/>
        <w:rPr>
          <w:rFonts w:hint="eastAsia" w:ascii="仿宋" w:hAnsi="仿宋" w:eastAsia="仿宋" w:cs="仿宋"/>
          <w:color w:val="auto"/>
          <w:highlight w:val="none"/>
        </w:rPr>
      </w:pPr>
    </w:p>
    <w:p>
      <w:pPr>
        <w:pStyle w:val="5"/>
        <w:spacing w:before="0" w:after="0" w:line="460" w:lineRule="exact"/>
        <w:ind w:left="0" w:leftChars="0" w:firstLine="0" w:firstLineChars="0"/>
        <w:jc w:val="both"/>
        <w:rPr>
          <w:rFonts w:hint="eastAsia" w:ascii="仿宋" w:hAnsi="仿宋" w:eastAsia="仿宋" w:cs="仿宋"/>
          <w:color w:val="auto"/>
          <w:highlight w:val="none"/>
        </w:rPr>
      </w:pPr>
    </w:p>
    <w:p>
      <w:pPr>
        <w:pStyle w:val="5"/>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bookmarkEnd w:id="21"/>
      <w:bookmarkEnd w:id="22"/>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；2.资格证明文件；3.提交的投标保证金。</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10"/>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rPr>
      </w:pPr>
      <w:bookmarkStart w:id="23" w:name="_Toc331493648"/>
      <w:bookmarkStart w:id="24" w:name="_Toc22759"/>
      <w:bookmarkStart w:id="25" w:name="_Toc19814"/>
      <w:bookmarkStart w:id="26" w:name="_Toc413396840"/>
    </w:p>
    <w:p>
      <w:pPr>
        <w:rPr>
          <w:rFonts w:hint="eastAsia" w:ascii="仿宋" w:hAnsi="仿宋" w:eastAsia="仿宋" w:cs="仿宋"/>
          <w:color w:val="auto"/>
          <w:highlight w:val="none"/>
        </w:rPr>
      </w:pPr>
    </w:p>
    <w:bookmarkEnd w:id="23"/>
    <w:bookmarkEnd w:id="24"/>
    <w:bookmarkEnd w:id="25"/>
    <w:bookmarkEnd w:id="26"/>
    <w:p>
      <w:pPr>
        <w:pStyle w:val="5"/>
        <w:ind w:left="0" w:leftChars="0" w:firstLine="0" w:firstLineChars="0"/>
        <w:jc w:val="center"/>
        <w:rPr>
          <w:rFonts w:hint="eastAsia" w:ascii="仿宋" w:hAnsi="仿宋" w:eastAsia="仿宋" w:cs="仿宋"/>
          <w:color w:val="auto"/>
          <w:kern w:val="0"/>
          <w:highlight w:val="none"/>
        </w:rPr>
      </w:pPr>
      <w:bookmarkStart w:id="27" w:name="_Toc480191543"/>
      <w:bookmarkStart w:id="28" w:name="_Toc485736232"/>
      <w:bookmarkStart w:id="29" w:name="_Toc413396845"/>
      <w:bookmarkStart w:id="30" w:name="_Toc6176"/>
      <w:bookmarkStart w:id="31" w:name="_Toc1161"/>
      <w:bookmarkStart w:id="32" w:name="_Toc331493653"/>
      <w:r>
        <w:rPr>
          <w:rFonts w:hint="eastAsia" w:ascii="仿宋" w:hAnsi="仿宋" w:eastAsia="仿宋" w:cs="仿宋"/>
          <w:color w:val="auto"/>
          <w:kern w:val="0"/>
          <w:highlight w:val="none"/>
          <w:lang w:val="en-US" w:eastAsia="zh-CN"/>
        </w:rPr>
        <w:t>2</w:t>
      </w:r>
      <w:r>
        <w:rPr>
          <w:rFonts w:hint="eastAsia" w:ascii="仿宋" w:hAnsi="仿宋" w:eastAsia="仿宋" w:cs="仿宋"/>
          <w:color w:val="auto"/>
          <w:kern w:val="0"/>
          <w:highlight w:val="none"/>
        </w:rPr>
        <w:t>、 响应货物报价一览表</w:t>
      </w:r>
      <w:bookmarkEnd w:id="27"/>
      <w:bookmarkEnd w:id="28"/>
    </w:p>
    <w:p>
      <w:pPr>
        <w:widowControl/>
        <w:ind w:left="4155" w:leftChars="50" w:hanging="4050" w:hangingChars="1500"/>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 响应供应商（公章）                                        </w:t>
      </w:r>
      <w:r>
        <w:rPr>
          <w:rFonts w:hint="eastAsia" w:ascii="仿宋" w:hAnsi="仿宋" w:eastAsia="仿宋" w:cs="仿宋"/>
          <w:color w:val="auto"/>
          <w:kern w:val="0"/>
          <w:sz w:val="27"/>
          <w:szCs w:val="27"/>
          <w:highlight w:val="none"/>
          <w:lang w:val="en-US" w:eastAsia="zh-CN"/>
        </w:rPr>
        <w:t>项目编号：</w:t>
      </w:r>
      <w:r>
        <w:rPr>
          <w:rFonts w:hint="eastAsia" w:ascii="仿宋" w:hAnsi="仿宋" w:eastAsia="仿宋" w:cs="仿宋"/>
          <w:color w:val="auto"/>
          <w:kern w:val="0"/>
          <w:sz w:val="27"/>
          <w:szCs w:val="27"/>
          <w:highlight w:val="none"/>
        </w:rPr>
        <w:t xml:space="preserve">      </w:t>
      </w:r>
    </w:p>
    <w:p>
      <w:pPr>
        <w:pStyle w:val="2"/>
        <w:rPr>
          <w:rFonts w:hint="eastAsia" w:ascii="仿宋" w:hAnsi="仿宋" w:eastAsia="仿宋" w:cs="仿宋"/>
          <w:color w:val="auto"/>
          <w:highlight w:val="none"/>
        </w:rPr>
      </w:pPr>
    </w:p>
    <w:tbl>
      <w:tblPr>
        <w:tblStyle w:val="17"/>
        <w:tblW w:w="11114"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69"/>
        <w:gridCol w:w="1260"/>
        <w:gridCol w:w="1215"/>
        <w:gridCol w:w="1139"/>
        <w:gridCol w:w="1139"/>
        <w:gridCol w:w="726"/>
        <w:gridCol w:w="1845"/>
        <w:gridCol w:w="1035"/>
        <w:gridCol w:w="15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1" w:hRule="atLeast"/>
          <w:tblCellSpacing w:w="0" w:type="dxa"/>
          <w:jc w:val="center"/>
        </w:trPr>
        <w:tc>
          <w:tcPr>
            <w:tcW w:w="116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货物名称</w:t>
            </w:r>
          </w:p>
        </w:tc>
        <w:tc>
          <w:tcPr>
            <w:tcW w:w="1260"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品牌型号</w:t>
            </w:r>
          </w:p>
        </w:tc>
        <w:tc>
          <w:tcPr>
            <w:tcW w:w="121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数量及单位</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单价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总价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72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保修期限</w:t>
            </w:r>
          </w:p>
        </w:tc>
        <w:tc>
          <w:tcPr>
            <w:tcW w:w="184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设备注册寿命或说明书规定使用年限</w:t>
            </w:r>
          </w:p>
        </w:tc>
        <w:tc>
          <w:tcPr>
            <w:tcW w:w="103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制造商名称</w:t>
            </w:r>
          </w:p>
        </w:tc>
        <w:tc>
          <w:tcPr>
            <w:tcW w:w="158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医疗器械注册证号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6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60"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1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72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84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03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58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114" w:type="dxa"/>
            <w:gridSpan w:val="9"/>
            <w:noWrap w:val="0"/>
            <w:vAlign w:val="center"/>
          </w:tcPr>
          <w:p>
            <w:pPr>
              <w:widowControl/>
              <w:spacing w:line="360" w:lineRule="auto"/>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总价（大写）                                   （小写）</w:t>
            </w:r>
          </w:p>
        </w:tc>
      </w:tr>
    </w:tbl>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联系人及电话：</w:t>
      </w:r>
      <w:r>
        <w:rPr>
          <w:rFonts w:hint="eastAsia" w:ascii="仿宋" w:hAnsi="仿宋" w:eastAsia="仿宋" w:cs="仿宋"/>
          <w:color w:val="auto"/>
          <w:kern w:val="0"/>
          <w:sz w:val="27"/>
          <w:szCs w:val="27"/>
          <w:highlight w:val="none"/>
          <w:u w:val="none"/>
        </w:rPr>
        <w:t xml:space="preserve">____________________________   </w:t>
      </w:r>
    </w:p>
    <w:p>
      <w:pPr>
        <w:widowControl/>
        <w:spacing w:before="100" w:beforeAutospacing="1" w:after="100" w:afterAutospacing="1" w:line="360" w:lineRule="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时间：          年    月    日</w:t>
      </w:r>
    </w:p>
    <w:p>
      <w:pPr>
        <w:rPr>
          <w:rFonts w:hint="eastAsia" w:ascii="仿宋" w:hAnsi="仿宋" w:eastAsia="仿宋" w:cs="仿宋"/>
          <w:color w:val="auto"/>
          <w:kern w:val="0"/>
          <w:highlight w:val="none"/>
        </w:rPr>
      </w:pPr>
    </w:p>
    <w:p>
      <w:pPr>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注:“设备注册寿命或说明书规定使用年限”指机器设计或注册时确定的机器使用期限，提供说明书或机身铭牌截图证明。</w:t>
      </w:r>
    </w:p>
    <w:p>
      <w:pPr>
        <w:ind w:right="28"/>
        <w:rPr>
          <w:rFonts w:hint="eastAsia" w:ascii="仿宋" w:hAnsi="仿宋" w:eastAsia="仿宋" w:cs="仿宋"/>
          <w:color w:val="auto"/>
          <w:sz w:val="28"/>
          <w:szCs w:val="28"/>
          <w:highlight w:val="none"/>
        </w:rPr>
      </w:pPr>
    </w:p>
    <w:p>
      <w:pPr>
        <w:pStyle w:val="5"/>
        <w:spacing w:before="0" w:after="0" w:line="460" w:lineRule="exact"/>
        <w:ind w:firstLine="0"/>
        <w:rPr>
          <w:rFonts w:hint="eastAsia" w:ascii="仿宋" w:hAnsi="仿宋" w:eastAsia="仿宋" w:cs="仿宋"/>
          <w:color w:val="auto"/>
          <w:highlight w:val="none"/>
        </w:rPr>
      </w:pPr>
    </w:p>
    <w:p>
      <w:pPr>
        <w:pStyle w:val="5"/>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bookmarkEnd w:id="29"/>
    <w:bookmarkEnd w:id="30"/>
    <w:bookmarkEnd w:id="31"/>
    <w:bookmarkEnd w:id="32"/>
    <w:p>
      <w:pPr>
        <w:pStyle w:val="5"/>
        <w:spacing w:before="0" w:after="0" w:line="460" w:lineRule="exact"/>
        <w:ind w:firstLine="0"/>
        <w:jc w:val="both"/>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lang w:eastAsia="zh-CN"/>
        </w:rPr>
      </w:pPr>
    </w:p>
    <w:p>
      <w:pPr>
        <w:spacing w:line="440" w:lineRule="exact"/>
        <w:rPr>
          <w:rFonts w:hint="eastAsia" w:ascii="仿宋" w:hAnsi="仿宋" w:eastAsia="仿宋" w:cs="仿宋"/>
          <w:color w:val="auto"/>
          <w:sz w:val="27"/>
          <w:szCs w:val="27"/>
          <w:highlight w:val="none"/>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33" w:name="_Toc23201"/>
      <w:bookmarkStart w:id="34" w:name="_Toc413396854"/>
      <w:bookmarkStart w:id="35" w:name="_Toc7073"/>
      <w:r>
        <w:rPr>
          <w:rFonts w:ascii="Arial" w:hAnsi="Arial" w:eastAsia="黑体"/>
          <w:b/>
          <w:bCs/>
          <w:color w:val="auto"/>
          <w:sz w:val="32"/>
          <w:szCs w:val="32"/>
          <w:highlight w:val="none"/>
        </w:rPr>
        <w:t>3</w:t>
      </w:r>
      <w:r>
        <w:rPr>
          <w:rFonts w:hint="eastAsia" w:ascii="Arial" w:hAnsi="Arial" w:eastAsia="黑体"/>
          <w:b/>
          <w:bCs/>
          <w:color w:val="auto"/>
          <w:sz w:val="32"/>
          <w:szCs w:val="32"/>
          <w:highlight w:val="none"/>
        </w:rPr>
        <w:t>.技术规格响应/偏离表</w:t>
      </w:r>
      <w:bookmarkEnd w:id="33"/>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r>
        <w:rPr>
          <w:rFonts w:ascii="宋体" w:hAnsi="宋体"/>
          <w:color w:val="auto"/>
          <w:sz w:val="25"/>
          <w:szCs w:val="25"/>
          <w:highlight w:val="non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规定的所有技术要求，并按规定的技术要求进行履约。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若响应的部分技术要求与谈判文件规定的技术要求有偏离，则按下表列出，并标明响应情况，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92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925" w:type="dxa"/>
            <w:noWrap w:val="0"/>
            <w:vAlign w:val="top"/>
          </w:tcPr>
          <w:p>
            <w:pPr>
              <w:spacing w:line="500" w:lineRule="exact"/>
              <w:rPr>
                <w:rFonts w:ascii="宋体" w:hAnsi="宋体"/>
                <w:color w:val="auto"/>
                <w:sz w:val="25"/>
                <w:szCs w:val="25"/>
                <w:highlight w:val="none"/>
              </w:rPr>
            </w:pPr>
          </w:p>
        </w:tc>
      </w:tr>
    </w:tbl>
    <w:p>
      <w:pPr>
        <w:spacing w:line="500" w:lineRule="exact"/>
        <w:rPr>
          <w:rFonts w:ascii="宋体" w:hAnsi="宋体"/>
          <w:b/>
          <w:color w:val="auto"/>
          <w:sz w:val="25"/>
          <w:szCs w:val="25"/>
          <w:highlight w:val="none"/>
          <w:u w:val="single"/>
        </w:rPr>
      </w:pP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法定代表人（单位负责人、经营者）（签字）：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36" w:name="_Toc11409"/>
      <w:r>
        <w:rPr>
          <w:rFonts w:ascii="Arial" w:hAnsi="Arial" w:eastAsia="黑体"/>
          <w:b/>
          <w:bCs/>
          <w:color w:val="auto"/>
          <w:sz w:val="32"/>
          <w:szCs w:val="32"/>
          <w:highlight w:val="none"/>
        </w:rPr>
        <w:t>4</w:t>
      </w:r>
      <w:r>
        <w:rPr>
          <w:rFonts w:hint="eastAsia" w:ascii="Arial" w:hAnsi="Arial" w:eastAsia="黑体"/>
          <w:b/>
          <w:bCs/>
          <w:color w:val="auto"/>
          <w:sz w:val="32"/>
          <w:szCs w:val="32"/>
          <w:highlight w:val="none"/>
        </w:rPr>
        <w:t>.商务条款响应/偏离表</w:t>
      </w:r>
      <w:bookmarkEnd w:id="36"/>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响应供应商名称：</w:t>
      </w:r>
      <w:r>
        <w:rPr>
          <w:rFonts w:hint="eastAsia" w:ascii="宋体" w:hAnsi="宋体"/>
          <w:color w:val="auto"/>
          <w:sz w:val="25"/>
          <w:szCs w:val="25"/>
          <w:highlight w:val="none"/>
          <w:u w:val="single"/>
        </w:rPr>
        <w:t xml:space="preserve">               </w:t>
      </w:r>
    </w:p>
    <w:p>
      <w:pPr>
        <w:spacing w:line="500" w:lineRule="exact"/>
        <w:ind w:firstLine="500" w:firstLineChars="200"/>
        <w:rPr>
          <w:rFonts w:ascii="宋体" w:hAnsi="宋体"/>
          <w:color w:val="auto"/>
          <w:sz w:val="25"/>
          <w:szCs w:val="25"/>
          <w:highlight w:val="none"/>
          <w:u w:val="single"/>
        </w:rPr>
      </w:pPr>
      <w:r>
        <w:rPr>
          <w:rFonts w:hint="eastAsia" w:ascii="宋体" w:hAnsi="宋体"/>
          <w:color w:val="auto"/>
          <w:sz w:val="25"/>
          <w:szCs w:val="25"/>
          <w:highlight w:val="none"/>
        </w:rPr>
        <w:t>采购编号：</w:t>
      </w:r>
      <w:r>
        <w:rPr>
          <w:rFonts w:hint="eastAsia" w:ascii="宋体" w:hAnsi="宋体"/>
          <w:color w:val="auto"/>
          <w:sz w:val="25"/>
          <w:szCs w:val="25"/>
          <w:highlight w:val="none"/>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widowControl/>
              <w:spacing w:line="360" w:lineRule="auto"/>
              <w:jc w:val="both"/>
              <w:rPr>
                <w:rFonts w:ascii="宋体" w:hAnsi="宋体"/>
                <w:color w:val="auto"/>
                <w:kern w:val="0"/>
                <w:sz w:val="25"/>
                <w:szCs w:val="25"/>
                <w:highlight w:val="none"/>
              </w:rPr>
            </w:pPr>
            <w:r>
              <w:rPr>
                <w:rFonts w:hint="eastAsia" w:ascii="宋体" w:hAnsi="宋体"/>
                <w:color w:val="auto"/>
                <w:kern w:val="0"/>
                <w:sz w:val="25"/>
                <w:szCs w:val="25"/>
                <w:highlight w:val="none"/>
              </w:rPr>
              <w:t>我公司郑重承诺，完全响应</w:t>
            </w:r>
            <w:r>
              <w:rPr>
                <w:rFonts w:hint="eastAsia" w:ascii="宋体" w:hAnsi="宋体"/>
                <w:color w:val="auto"/>
                <w:kern w:val="0"/>
                <w:sz w:val="25"/>
                <w:szCs w:val="25"/>
                <w:highlight w:val="none"/>
                <w:lang w:eastAsia="zh-CN"/>
              </w:rPr>
              <w:t>谈判文件</w:t>
            </w:r>
            <w:r>
              <w:rPr>
                <w:rFonts w:hint="eastAsia" w:ascii="宋体" w:hAnsi="宋体"/>
                <w:color w:val="auto"/>
                <w:kern w:val="0"/>
                <w:sz w:val="25"/>
                <w:szCs w:val="25"/>
                <w:highlight w:val="none"/>
              </w:rPr>
              <w:t>规定的所有商务要求，并按规定的商务要求进行履约。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keepNext w:val="0"/>
              <w:keepLines w:val="0"/>
              <w:widowControl/>
              <w:suppressLineNumbers w:val="0"/>
              <w:jc w:val="left"/>
              <w:rPr>
                <w:rFonts w:ascii="宋体" w:hAnsi="宋体"/>
                <w:color w:val="auto"/>
                <w:kern w:val="0"/>
                <w:sz w:val="25"/>
                <w:szCs w:val="25"/>
                <w:highlight w:val="none"/>
              </w:rPr>
            </w:pPr>
            <w:r>
              <w:rPr>
                <w:rFonts w:hint="eastAsia" w:ascii="宋体" w:hAnsi="宋体" w:eastAsia="宋体" w:cs="宋体"/>
                <w:b/>
                <w:bCs/>
                <w:color w:val="000000"/>
                <w:kern w:val="0"/>
                <w:sz w:val="25"/>
                <w:szCs w:val="25"/>
                <w:highlight w:val="none"/>
                <w:lang w:val="en-US" w:eastAsia="zh-CN" w:bidi="ar"/>
              </w:rPr>
              <w:t>说明：</w:t>
            </w:r>
            <w:r>
              <w:rPr>
                <w:rFonts w:hint="eastAsia" w:ascii="宋体" w:hAnsi="宋体" w:eastAsia="宋体" w:cs="宋体"/>
                <w:color w:val="000000"/>
                <w:kern w:val="0"/>
                <w:sz w:val="25"/>
                <w:szCs w:val="25"/>
                <w:highlight w:val="none"/>
                <w:lang w:val="en-US" w:eastAsia="zh-CN" w:bidi="ar"/>
              </w:rPr>
              <w:t>若响应的部分商务要求与谈判文件规定的商务要求有偏离，则按下表列出，并标明响应情况，</w:t>
            </w:r>
            <w:r>
              <w:rPr>
                <w:rFonts w:hint="eastAsia" w:ascii="宋体" w:hAnsi="宋体" w:eastAsia="宋体" w:cs="宋体"/>
                <w:b/>
                <w:bCs/>
                <w:color w:val="000000"/>
                <w:kern w:val="0"/>
                <w:sz w:val="25"/>
                <w:szCs w:val="25"/>
                <w:highlight w:val="none"/>
                <w:lang w:val="en-US" w:eastAsia="zh-CN" w:bidi="ar"/>
              </w:rPr>
              <w:t>若完全响应，则无需填写下表。</w:t>
            </w:r>
            <w:r>
              <w:rPr>
                <w:rFonts w:hint="eastAsia" w:ascii="宋体" w:hAnsi="宋体" w:eastAsia="宋体" w:cs="宋体"/>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序号</w:t>
            </w:r>
          </w:p>
        </w:tc>
        <w:tc>
          <w:tcPr>
            <w:tcW w:w="182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lang w:eastAsia="zh-CN"/>
              </w:rPr>
              <w:t>分项</w:t>
            </w:r>
            <w:r>
              <w:rPr>
                <w:rFonts w:hint="eastAsia" w:ascii="宋体" w:hAnsi="宋体"/>
                <w:color w:val="auto"/>
                <w:sz w:val="25"/>
                <w:szCs w:val="25"/>
                <w:highlight w:val="none"/>
              </w:rPr>
              <w:t>名称</w:t>
            </w:r>
          </w:p>
        </w:tc>
        <w:tc>
          <w:tcPr>
            <w:tcW w:w="2146"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采购要求</w:t>
            </w:r>
          </w:p>
        </w:tc>
        <w:tc>
          <w:tcPr>
            <w:tcW w:w="1683"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响应要求</w:t>
            </w:r>
          </w:p>
        </w:tc>
        <w:tc>
          <w:tcPr>
            <w:tcW w:w="1905"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正偏离/负偏离</w:t>
            </w:r>
          </w:p>
        </w:tc>
        <w:tc>
          <w:tcPr>
            <w:tcW w:w="1000" w:type="dxa"/>
            <w:noWrap w:val="0"/>
            <w:vAlign w:val="center"/>
          </w:tcPr>
          <w:p>
            <w:pPr>
              <w:spacing w:line="500" w:lineRule="exact"/>
              <w:jc w:val="center"/>
              <w:rPr>
                <w:rFonts w:ascii="宋体" w:hAnsi="宋体"/>
                <w:color w:val="auto"/>
                <w:sz w:val="25"/>
                <w:szCs w:val="25"/>
                <w:highlight w:val="none"/>
              </w:rPr>
            </w:pPr>
            <w:r>
              <w:rPr>
                <w:rFonts w:hint="eastAsia" w:ascii="宋体" w:hAnsi="宋体"/>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ascii="宋体" w:hAnsi="宋体"/>
                <w:color w:val="auto"/>
                <w:sz w:val="25"/>
                <w:szCs w:val="25"/>
                <w:highlight w:val="none"/>
              </w:rPr>
            </w:pPr>
          </w:p>
        </w:tc>
        <w:tc>
          <w:tcPr>
            <w:tcW w:w="1823" w:type="dxa"/>
            <w:noWrap w:val="0"/>
            <w:vAlign w:val="top"/>
          </w:tcPr>
          <w:p>
            <w:pPr>
              <w:spacing w:line="500" w:lineRule="exact"/>
              <w:rPr>
                <w:rFonts w:ascii="宋体" w:hAnsi="宋体"/>
                <w:color w:val="auto"/>
                <w:sz w:val="25"/>
                <w:szCs w:val="25"/>
                <w:highlight w:val="none"/>
              </w:rPr>
            </w:pPr>
          </w:p>
        </w:tc>
        <w:tc>
          <w:tcPr>
            <w:tcW w:w="2146" w:type="dxa"/>
            <w:noWrap w:val="0"/>
            <w:vAlign w:val="top"/>
          </w:tcPr>
          <w:p>
            <w:pPr>
              <w:spacing w:line="500" w:lineRule="exact"/>
              <w:rPr>
                <w:rFonts w:ascii="宋体" w:hAnsi="宋体"/>
                <w:color w:val="auto"/>
                <w:sz w:val="25"/>
                <w:szCs w:val="25"/>
                <w:highlight w:val="none"/>
              </w:rPr>
            </w:pPr>
          </w:p>
        </w:tc>
        <w:tc>
          <w:tcPr>
            <w:tcW w:w="1683" w:type="dxa"/>
            <w:noWrap w:val="0"/>
            <w:vAlign w:val="top"/>
          </w:tcPr>
          <w:p>
            <w:pPr>
              <w:spacing w:line="500" w:lineRule="exact"/>
              <w:rPr>
                <w:rFonts w:ascii="宋体" w:hAnsi="宋体"/>
                <w:color w:val="auto"/>
                <w:sz w:val="25"/>
                <w:szCs w:val="25"/>
                <w:highlight w:val="none"/>
              </w:rPr>
            </w:pPr>
          </w:p>
        </w:tc>
        <w:tc>
          <w:tcPr>
            <w:tcW w:w="1905" w:type="dxa"/>
            <w:noWrap w:val="0"/>
            <w:vAlign w:val="top"/>
          </w:tcPr>
          <w:p>
            <w:pPr>
              <w:spacing w:line="500" w:lineRule="exact"/>
              <w:rPr>
                <w:rFonts w:ascii="宋体" w:hAnsi="宋体"/>
                <w:color w:val="auto"/>
                <w:sz w:val="25"/>
                <w:szCs w:val="25"/>
                <w:highlight w:val="none"/>
              </w:rPr>
            </w:pPr>
          </w:p>
        </w:tc>
        <w:tc>
          <w:tcPr>
            <w:tcW w:w="1000" w:type="dxa"/>
            <w:noWrap w:val="0"/>
            <w:vAlign w:val="top"/>
          </w:tcPr>
          <w:p>
            <w:pPr>
              <w:spacing w:line="500" w:lineRule="exact"/>
              <w:rPr>
                <w:rFonts w:ascii="宋体" w:hAnsi="宋体"/>
                <w:color w:val="auto"/>
                <w:sz w:val="25"/>
                <w:szCs w:val="25"/>
                <w:highlight w:val="none"/>
              </w:rPr>
            </w:pPr>
          </w:p>
        </w:tc>
      </w:tr>
    </w:tbl>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法定代表人（单位负责人、经营者）（签字）：</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highlight w:val="none"/>
        </w:rPr>
      </w:pPr>
      <w:bookmarkStart w:id="37" w:name="_Toc423337568"/>
      <w:bookmarkStart w:id="38" w:name="_Toc469749011"/>
      <w:bookmarkStart w:id="39" w:name="_Toc3874"/>
      <w:r>
        <w:rPr>
          <w:rFonts w:ascii="Arial" w:hAnsi="Arial" w:eastAsia="黑体"/>
          <w:b/>
          <w:bCs/>
          <w:sz w:val="32"/>
          <w:szCs w:val="32"/>
          <w:highlight w:val="none"/>
        </w:rPr>
        <w:t>5.</w:t>
      </w:r>
      <w:r>
        <w:rPr>
          <w:rFonts w:hint="eastAsia" w:ascii="Arial" w:hAnsi="Arial" w:eastAsia="黑体"/>
          <w:b/>
          <w:bCs/>
          <w:sz w:val="32"/>
          <w:szCs w:val="32"/>
          <w:highlight w:val="none"/>
        </w:rPr>
        <w:t>技术文件</w:t>
      </w:r>
      <w:bookmarkEnd w:id="37"/>
      <w:bookmarkEnd w:id="38"/>
      <w:bookmarkEnd w:id="39"/>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内容包括：</w:t>
      </w:r>
    </w:p>
    <w:p>
      <w:pPr>
        <w:spacing w:line="500" w:lineRule="exact"/>
        <w:ind w:firstLine="500" w:firstLineChars="200"/>
        <w:rPr>
          <w:rFonts w:ascii="宋体" w:hAnsi="宋体"/>
          <w:color w:val="auto"/>
          <w:sz w:val="25"/>
          <w:szCs w:val="25"/>
          <w:highlight w:val="none"/>
        </w:rPr>
      </w:pPr>
      <w:r>
        <w:rPr>
          <w:rFonts w:hint="eastAsia" w:ascii="宋体" w:hAnsi="宋体"/>
          <w:sz w:val="25"/>
          <w:szCs w:val="25"/>
          <w:highlight w:val="none"/>
        </w:rPr>
        <w:t>1、货物的技术</w:t>
      </w:r>
      <w:r>
        <w:rPr>
          <w:rFonts w:hint="eastAsia" w:ascii="宋体" w:hAnsi="宋体"/>
          <w:color w:val="auto"/>
          <w:sz w:val="25"/>
          <w:szCs w:val="25"/>
          <w:highlight w:val="none"/>
        </w:rPr>
        <w:t>规格与功能的详细说明</w:t>
      </w:r>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2、主要外购件、配套件的型号规格和制造商明细表</w:t>
      </w:r>
    </w:p>
    <w:p>
      <w:pPr>
        <w:spacing w:line="500" w:lineRule="exact"/>
        <w:ind w:firstLine="500" w:firstLineChars="200"/>
        <w:rPr>
          <w:rFonts w:ascii="宋体" w:hAnsi="宋体"/>
          <w:sz w:val="25"/>
          <w:szCs w:val="25"/>
          <w:highlight w:val="none"/>
        </w:rPr>
      </w:pPr>
      <w:r>
        <w:rPr>
          <w:rFonts w:hint="eastAsia" w:ascii="宋体" w:hAnsi="宋体"/>
          <w:sz w:val="25"/>
          <w:szCs w:val="25"/>
          <w:highlight w:val="none"/>
        </w:rPr>
        <w:t>3、标准附件、备品备件和专用工具等</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4、常用的、容易损坏的备品备件及易损件的价格清单等</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5、响应供应商认为需要说明的其他内容（响应供应商视需要自行编写）</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keepNext/>
        <w:keepLines/>
        <w:spacing w:before="260" w:after="260" w:line="413" w:lineRule="auto"/>
        <w:ind w:firstLine="628"/>
        <w:jc w:val="center"/>
        <w:outlineLvl w:val="1"/>
        <w:rPr>
          <w:rFonts w:ascii="Arial" w:hAnsi="Arial" w:eastAsia="黑体"/>
          <w:b/>
          <w:bCs/>
          <w:sz w:val="32"/>
          <w:szCs w:val="32"/>
          <w:highlight w:val="none"/>
        </w:rPr>
      </w:pPr>
      <w:bookmarkStart w:id="40" w:name="_Toc469749013"/>
      <w:bookmarkStart w:id="41" w:name="_Toc423337570"/>
      <w:bookmarkStart w:id="42" w:name="_Toc23487"/>
      <w:r>
        <w:rPr>
          <w:rFonts w:ascii="Arial" w:hAnsi="Arial" w:eastAsia="黑体"/>
          <w:b/>
          <w:bCs/>
          <w:sz w:val="32"/>
          <w:szCs w:val="32"/>
          <w:highlight w:val="none"/>
        </w:rPr>
        <w:t>6</w:t>
      </w:r>
      <w:r>
        <w:rPr>
          <w:rFonts w:hint="eastAsia" w:ascii="Arial" w:hAnsi="Arial" w:eastAsia="黑体"/>
          <w:b/>
          <w:bCs/>
          <w:sz w:val="32"/>
          <w:szCs w:val="32"/>
          <w:highlight w:val="none"/>
        </w:rPr>
        <w:t>.营业执照、税务登记证、机构代码证（三证（五证）合一的提供三证（五证</w:t>
      </w:r>
      <w:r>
        <w:rPr>
          <w:rFonts w:hint="eastAsia" w:ascii="Arial" w:hAnsi="Arial" w:eastAsia="黑体"/>
          <w:b/>
          <w:bCs/>
          <w:sz w:val="32"/>
          <w:szCs w:val="32"/>
          <w:highlight w:val="none"/>
          <w:lang w:eastAsia="zh-CN"/>
        </w:rPr>
        <w:t>、多证</w:t>
      </w:r>
      <w:r>
        <w:rPr>
          <w:rFonts w:hint="eastAsia" w:ascii="Arial" w:hAnsi="Arial" w:eastAsia="黑体"/>
          <w:b/>
          <w:bCs/>
          <w:sz w:val="32"/>
          <w:szCs w:val="32"/>
          <w:highlight w:val="none"/>
        </w:rPr>
        <w:t>）合一证件）</w:t>
      </w:r>
      <w:bookmarkEnd w:id="40"/>
      <w:bookmarkEnd w:id="41"/>
      <w:bookmarkEnd w:id="42"/>
    </w:p>
    <w:p>
      <w:pPr>
        <w:spacing w:line="500" w:lineRule="exact"/>
        <w:ind w:firstLine="1250" w:firstLineChars="500"/>
        <w:rPr>
          <w:rFonts w:hint="eastAsia" w:ascii="宋体" w:hAnsi="宋体"/>
          <w:sz w:val="25"/>
          <w:szCs w:val="25"/>
          <w:highlight w:val="none"/>
        </w:rPr>
      </w:pPr>
      <w:bookmarkStart w:id="43" w:name="_Toc423337571"/>
      <w:bookmarkStart w:id="44" w:name="_Toc417890583"/>
      <w:bookmarkStart w:id="45" w:name="_Toc416680799"/>
      <w:r>
        <w:rPr>
          <w:rFonts w:hint="eastAsia" w:ascii="宋体" w:hAnsi="宋体"/>
          <w:sz w:val="25"/>
          <w:szCs w:val="25"/>
          <w:highlight w:val="none"/>
        </w:rPr>
        <w:t>说明：1、必须在有效期内；</w:t>
      </w:r>
    </w:p>
    <w:p>
      <w:pPr>
        <w:spacing w:line="500" w:lineRule="exact"/>
        <w:rPr>
          <w:rFonts w:hint="eastAsia" w:ascii="宋体" w:hAnsi="宋体"/>
          <w:sz w:val="25"/>
          <w:szCs w:val="25"/>
          <w:highlight w:val="none"/>
          <w:lang w:val="en-US" w:eastAsia="zh-CN"/>
        </w:rPr>
      </w:pPr>
      <w:r>
        <w:rPr>
          <w:rFonts w:hint="eastAsia" w:ascii="宋体" w:hAnsi="宋体"/>
          <w:sz w:val="25"/>
          <w:szCs w:val="25"/>
          <w:highlight w:val="none"/>
        </w:rPr>
        <w:t xml:space="preserve">                </w:t>
      </w:r>
    </w:p>
    <w:p>
      <w:pPr>
        <w:pStyle w:val="2"/>
        <w:rPr>
          <w:rFonts w:hint="eastAsia"/>
          <w:highlight w:val="none"/>
        </w:rPr>
      </w:pPr>
    </w:p>
    <w:bookmarkEnd w:id="43"/>
    <w:bookmarkEnd w:id="44"/>
    <w:p>
      <w:pPr>
        <w:keepNext/>
        <w:keepLines/>
        <w:spacing w:before="260" w:after="260" w:line="413" w:lineRule="auto"/>
        <w:ind w:firstLine="628"/>
        <w:jc w:val="center"/>
        <w:outlineLvl w:val="1"/>
        <w:rPr>
          <w:rFonts w:hint="eastAsia" w:ascii="Arial" w:hAnsi="Arial" w:eastAsia="黑体"/>
          <w:b/>
          <w:bCs/>
          <w:sz w:val="32"/>
          <w:szCs w:val="32"/>
          <w:highlight w:val="none"/>
        </w:rPr>
      </w:pPr>
      <w:bookmarkStart w:id="46" w:name="_Toc423357540"/>
      <w:bookmarkStart w:id="47" w:name="_Toc24750"/>
      <w:bookmarkStart w:id="48" w:name="_Toc469749014"/>
      <w:r>
        <w:rPr>
          <w:rFonts w:hint="eastAsia" w:ascii="Arial" w:hAnsi="Arial" w:eastAsia="黑体"/>
          <w:b/>
          <w:bCs/>
          <w:sz w:val="32"/>
          <w:szCs w:val="32"/>
          <w:highlight w:val="none"/>
        </w:rPr>
        <w:t>7</w:t>
      </w:r>
      <w:bookmarkEnd w:id="46"/>
      <w:r>
        <w:rPr>
          <w:rFonts w:hint="eastAsia" w:ascii="Arial" w:hAnsi="Arial" w:eastAsia="黑体"/>
          <w:b/>
          <w:bCs/>
          <w:sz w:val="32"/>
          <w:szCs w:val="32"/>
          <w:highlight w:val="none"/>
        </w:rPr>
        <w:t>.</w:t>
      </w:r>
      <w:r>
        <w:rPr>
          <w:rFonts w:ascii="Arial" w:hAnsi="Arial" w:eastAsia="黑体"/>
          <w:b/>
          <w:bCs/>
          <w:sz w:val="32"/>
          <w:szCs w:val="32"/>
          <w:highlight w:val="none"/>
        </w:rPr>
        <w:t>财务报告或银行资信证明或响应担保函</w:t>
      </w:r>
      <w:bookmarkEnd w:id="47"/>
      <w:bookmarkEnd w:id="48"/>
      <w:r>
        <w:rPr>
          <w:rFonts w:ascii="Arial" w:hAnsi="Arial" w:eastAsia="黑体"/>
          <w:b/>
          <w:bCs/>
          <w:sz w:val="32"/>
          <w:szCs w:val="32"/>
          <w:highlight w:val="none"/>
        </w:rPr>
        <w:t xml:space="preserve"> </w:t>
      </w:r>
    </w:p>
    <w:bookmarkEnd w:id="45"/>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5"/>
        <w:rPr>
          <w:rFonts w:hint="eastAsia"/>
          <w:highlight w:val="none"/>
          <w:lang w:eastAsia="zh-CN"/>
        </w:rPr>
      </w:pPr>
      <w:bookmarkStart w:id="49" w:name="_Toc25526"/>
    </w:p>
    <w:p>
      <w:pPr>
        <w:pStyle w:val="5"/>
        <w:rPr>
          <w:rFonts w:hint="eastAsia"/>
          <w:highlight w:val="none"/>
        </w:rPr>
      </w:pPr>
      <w:bookmarkStart w:id="50" w:name="_Toc31359"/>
      <w:r>
        <w:rPr>
          <w:rFonts w:hint="eastAsia"/>
          <w:highlight w:val="none"/>
          <w:lang w:eastAsia="zh-CN"/>
        </w:rPr>
        <w:t>8.</w:t>
      </w:r>
      <w:r>
        <w:rPr>
          <w:rFonts w:hint="eastAsia"/>
          <w:highlight w:val="none"/>
        </w:rPr>
        <w:t>依法缴纳税收证明</w:t>
      </w:r>
      <w:bookmarkEnd w:id="49"/>
      <w:bookmarkEnd w:id="50"/>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pStyle w:val="2"/>
        <w:rPr>
          <w:rFonts w:hint="eastAsia" w:ascii="宋体" w:hAnsi="宋体"/>
          <w:sz w:val="25"/>
          <w:szCs w:val="25"/>
          <w:highlight w:val="none"/>
        </w:rPr>
      </w:pPr>
    </w:p>
    <w:p>
      <w:pPr>
        <w:pStyle w:val="5"/>
        <w:rPr>
          <w:rFonts w:hint="eastAsia"/>
          <w:highlight w:val="none"/>
          <w:lang w:eastAsia="zh-CN"/>
        </w:rPr>
      </w:pPr>
      <w:bookmarkStart w:id="51" w:name="_Toc4678"/>
    </w:p>
    <w:p>
      <w:pPr>
        <w:pStyle w:val="5"/>
        <w:rPr>
          <w:rFonts w:hint="eastAsia"/>
          <w:highlight w:val="none"/>
        </w:rPr>
      </w:pPr>
      <w:bookmarkStart w:id="52" w:name="_Toc14430"/>
      <w:r>
        <w:rPr>
          <w:rFonts w:hint="eastAsia"/>
          <w:highlight w:val="none"/>
          <w:lang w:eastAsia="zh-CN"/>
        </w:rPr>
        <w:t>9.</w:t>
      </w:r>
      <w:r>
        <w:rPr>
          <w:rFonts w:hint="eastAsia"/>
          <w:highlight w:val="none"/>
        </w:rPr>
        <w:t>依法缴纳社会保障资金的相关材料</w:t>
      </w:r>
      <w:bookmarkEnd w:id="51"/>
      <w:bookmarkEnd w:id="52"/>
    </w:p>
    <w:p>
      <w:pPr>
        <w:rPr>
          <w:rFonts w:hint="eastAsia" w:ascii="宋体" w:hAnsi="宋体"/>
          <w:b/>
          <w:bCs/>
          <w:color w:val="auto"/>
          <w:sz w:val="25"/>
          <w:szCs w:val="25"/>
          <w:highlight w:val="none"/>
        </w:rPr>
      </w:pPr>
      <w:r>
        <w:rPr>
          <w:rFonts w:hint="eastAsia" w:ascii="宋体" w:hAnsi="宋体"/>
          <w:b/>
          <w:bCs/>
          <w:sz w:val="25"/>
          <w:szCs w:val="25"/>
          <w:highlight w:val="none"/>
        </w:rPr>
        <w:t>响应供应商只需以书面形式提供规定格式的《基本资格条件承诺函》</w:t>
      </w:r>
      <w:r>
        <w:rPr>
          <w:rFonts w:hint="eastAsia" w:ascii="宋体" w:hAnsi="宋体"/>
          <w:b/>
          <w:bCs/>
          <w:color w:val="auto"/>
          <w:sz w:val="25"/>
          <w:szCs w:val="25"/>
          <w:highlight w:val="none"/>
        </w:rPr>
        <w:t>原件加盖响应供应商公章。</w:t>
      </w:r>
    </w:p>
    <w:p>
      <w:pPr>
        <w:ind w:firstLine="420" w:firstLineChars="200"/>
        <w:rPr>
          <w:rFonts w:hint="eastAsia"/>
          <w:highlight w:val="none"/>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pStyle w:val="5"/>
        <w:rPr>
          <w:rFonts w:hint="eastAsia"/>
          <w:color w:val="auto"/>
          <w:highlight w:val="none"/>
        </w:rPr>
      </w:pPr>
      <w:bookmarkStart w:id="53" w:name="_Toc26349"/>
      <w:bookmarkStart w:id="54" w:name="_Toc3387"/>
      <w:r>
        <w:rPr>
          <w:b w:val="0"/>
          <w:bCs w:val="0"/>
          <w:color w:val="auto"/>
          <w:highlight w:val="none"/>
        </w:rPr>
        <w:t>10</w:t>
      </w:r>
      <w:r>
        <w:rPr>
          <w:rFonts w:hint="eastAsia"/>
          <w:b w:val="0"/>
          <w:bCs w:val="0"/>
          <w:color w:val="auto"/>
          <w:highlight w:val="none"/>
        </w:rPr>
        <w:t>.</w:t>
      </w:r>
      <w:r>
        <w:rPr>
          <w:rFonts w:ascii="宋体" w:hAnsi="宋体"/>
          <w:color w:val="auto"/>
          <w:sz w:val="27"/>
          <w:szCs w:val="27"/>
          <w:highlight w:val="none"/>
        </w:rPr>
        <w:t xml:space="preserve"> 法定代表人</w:t>
      </w:r>
      <w:r>
        <w:rPr>
          <w:rFonts w:hint="eastAsia" w:ascii="宋体" w:hAnsi="宋体"/>
          <w:color w:val="auto"/>
          <w:sz w:val="27"/>
          <w:szCs w:val="27"/>
          <w:highlight w:val="none"/>
        </w:rPr>
        <w:t>（经营者、单位负责人）</w:t>
      </w:r>
      <w:r>
        <w:rPr>
          <w:rFonts w:hint="eastAsia"/>
          <w:color w:val="auto"/>
          <w:highlight w:val="none"/>
        </w:rPr>
        <w:t>身份证明书（格式）</w:t>
      </w:r>
      <w:bookmarkEnd w:id="53"/>
      <w:bookmarkEnd w:id="54"/>
    </w:p>
    <w:p>
      <w:pPr>
        <w:spacing w:line="500" w:lineRule="exact"/>
        <w:ind w:firstLine="540" w:firstLineChars="200"/>
        <w:rPr>
          <w:rFonts w:hint="eastAsia" w:ascii="宋体" w:hAnsi="宋体"/>
          <w:color w:val="auto"/>
          <w:sz w:val="27"/>
          <w:szCs w:val="27"/>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致：赣州市</w:t>
      </w:r>
      <w:r>
        <w:rPr>
          <w:rFonts w:hint="eastAsia" w:ascii="宋体" w:hAnsi="宋体"/>
          <w:color w:val="auto"/>
          <w:sz w:val="25"/>
          <w:szCs w:val="25"/>
          <w:highlight w:val="none"/>
          <w:lang w:val="en-US" w:eastAsia="zh-CN"/>
        </w:rPr>
        <w:t>肿瘤医院</w:t>
      </w:r>
      <w:r>
        <w:rPr>
          <w:rFonts w:hint="eastAsia" w:ascii="宋体" w:hAnsi="宋体"/>
          <w:color w:val="auto"/>
          <w:sz w:val="25"/>
          <w:szCs w:val="25"/>
          <w:highlight w:val="none"/>
        </w:rPr>
        <w:t>：</w:t>
      </w:r>
    </w:p>
    <w:p>
      <w:pPr>
        <w:spacing w:line="500" w:lineRule="exact"/>
        <w:ind w:firstLine="500" w:firstLineChars="200"/>
        <w:jc w:val="left"/>
        <w:rPr>
          <w:rFonts w:hint="eastAsia" w:ascii="宋体" w:hAnsi="宋体"/>
          <w:color w:val="auto"/>
          <w:sz w:val="25"/>
          <w:szCs w:val="25"/>
          <w:highlight w:val="none"/>
        </w:rPr>
      </w:pP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（经营者、单位负责人）姓名）在</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（响应供应商名称）任</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（职务名称）职务，是（响应供应商名称）</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特此证明。</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hint="eastAsia"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 xml:space="preserve">                                             年   月   日</w:t>
      </w:r>
    </w:p>
    <w:p>
      <w:pPr>
        <w:spacing w:line="500" w:lineRule="exact"/>
        <w:ind w:firstLine="500" w:firstLineChars="200"/>
        <w:rPr>
          <w:rFonts w:hint="eastAsia" w:ascii="宋体" w:hAnsi="宋体"/>
          <w:color w:val="auto"/>
          <w:sz w:val="25"/>
          <w:szCs w:val="25"/>
          <w:highlight w:val="none"/>
        </w:rPr>
      </w:pPr>
    </w:p>
    <w:p>
      <w:pPr>
        <w:keepNext/>
        <w:keepLines/>
        <w:spacing w:before="260" w:after="260" w:line="413" w:lineRule="auto"/>
        <w:ind w:firstLine="628"/>
        <w:jc w:val="center"/>
        <w:outlineLvl w:val="1"/>
        <w:rPr>
          <w:rFonts w:ascii="宋体" w:hAnsi="宋体"/>
          <w:color w:val="auto"/>
          <w:sz w:val="25"/>
          <w:szCs w:val="25"/>
          <w:highlight w:val="none"/>
        </w:rPr>
      </w:pPr>
      <w:bookmarkStart w:id="55" w:name="_Toc4577"/>
      <w:bookmarkStart w:id="56" w:name="_Toc225"/>
      <w:r>
        <w:rPr>
          <w:rFonts w:hint="eastAsia" w:ascii="宋体" w:hAnsi="宋体"/>
          <w:color w:val="auto"/>
          <w:sz w:val="25"/>
          <w:szCs w:val="25"/>
          <w:highlight w:val="none"/>
        </w:rPr>
        <w:t>（附：</w:t>
      </w:r>
      <w:r>
        <w:rPr>
          <w:rFonts w:ascii="宋体" w:hAnsi="宋体"/>
          <w:color w:val="auto"/>
          <w:sz w:val="25"/>
          <w:szCs w:val="25"/>
          <w:highlight w:val="none"/>
        </w:rPr>
        <w:t>法定代表人</w:t>
      </w:r>
      <w:r>
        <w:rPr>
          <w:rFonts w:hint="eastAsia" w:ascii="宋体" w:hAnsi="宋体"/>
          <w:color w:val="auto"/>
          <w:sz w:val="25"/>
          <w:szCs w:val="25"/>
          <w:highlight w:val="none"/>
        </w:rPr>
        <w:t>（经营者、单位负责人））</w:t>
      </w:r>
      <w:bookmarkEnd w:id="55"/>
      <w:bookmarkEnd w:id="56"/>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pStyle w:val="3"/>
        <w:rPr>
          <w:rFonts w:hint="eastAsia" w:ascii="宋体" w:hAnsi="宋体"/>
          <w:color w:val="auto"/>
          <w:sz w:val="27"/>
          <w:szCs w:val="27"/>
          <w:highlight w:val="none"/>
        </w:rPr>
      </w:pPr>
    </w:p>
    <w:p>
      <w:pPr>
        <w:keepNext/>
        <w:keepLines/>
        <w:spacing w:before="260" w:after="260" w:line="413" w:lineRule="auto"/>
        <w:ind w:firstLine="628"/>
        <w:jc w:val="center"/>
        <w:outlineLvl w:val="1"/>
        <w:rPr>
          <w:rFonts w:ascii="Arial" w:hAnsi="Arial" w:eastAsia="黑体"/>
          <w:b/>
          <w:bCs/>
          <w:color w:val="auto"/>
          <w:sz w:val="32"/>
          <w:szCs w:val="32"/>
          <w:highlight w:val="none"/>
        </w:rPr>
      </w:pPr>
      <w:bookmarkStart w:id="57" w:name="_Toc469749018"/>
      <w:bookmarkStart w:id="58" w:name="_Toc11819"/>
      <w:bookmarkStart w:id="59" w:name="_Toc423337575"/>
      <w:r>
        <w:rPr>
          <w:rFonts w:ascii="Arial" w:hAnsi="Arial" w:eastAsia="黑体"/>
          <w:b/>
          <w:bCs/>
          <w:color w:val="auto"/>
          <w:sz w:val="32"/>
          <w:szCs w:val="32"/>
          <w:highlight w:val="none"/>
        </w:rPr>
        <w:t>11</w:t>
      </w:r>
      <w:r>
        <w:rPr>
          <w:rFonts w:hint="eastAsia" w:ascii="Arial" w:hAnsi="Arial" w:eastAsia="黑体"/>
          <w:b/>
          <w:bCs/>
          <w:color w:val="auto"/>
          <w:sz w:val="32"/>
          <w:szCs w:val="32"/>
          <w:highlight w:val="none"/>
        </w:rPr>
        <w:t>.法定代表人（经营者、单位负责人）授权书（格式）</w:t>
      </w:r>
      <w:bookmarkEnd w:id="57"/>
      <w:bookmarkEnd w:id="58"/>
      <w:bookmarkEnd w:id="59"/>
    </w:p>
    <w:p>
      <w:pPr>
        <w:spacing w:line="500" w:lineRule="exact"/>
        <w:ind w:firstLine="540" w:firstLineChars="200"/>
        <w:rPr>
          <w:rFonts w:ascii="宋体" w:hAnsi="宋体"/>
          <w:color w:val="auto"/>
          <w:sz w:val="27"/>
          <w:szCs w:val="27"/>
          <w:highlight w:val="none"/>
        </w:rPr>
      </w:pPr>
    </w:p>
    <w:p>
      <w:pPr>
        <w:spacing w:line="500" w:lineRule="exact"/>
        <w:ind w:firstLine="500" w:firstLineChars="200"/>
        <w:rPr>
          <w:rFonts w:hint="default" w:ascii="宋体" w:hAnsi="宋体" w:eastAsia="宋体"/>
          <w:color w:val="auto"/>
          <w:sz w:val="25"/>
          <w:szCs w:val="25"/>
          <w:highlight w:val="none"/>
          <w:lang w:val="en-US" w:eastAsia="zh-CN"/>
        </w:rPr>
      </w:pPr>
      <w:r>
        <w:rPr>
          <w:rFonts w:hint="eastAsia" w:ascii="宋体" w:hAnsi="宋体"/>
          <w:color w:val="auto"/>
          <w:sz w:val="25"/>
          <w:szCs w:val="25"/>
          <w:highlight w:val="none"/>
        </w:rPr>
        <w:t>致</w:t>
      </w:r>
      <w:r>
        <w:rPr>
          <w:rFonts w:ascii="宋体" w:hAnsi="宋体"/>
          <w:color w:val="auto"/>
          <w:sz w:val="25"/>
          <w:szCs w:val="25"/>
          <w:highlight w:val="none"/>
        </w:rPr>
        <w:t>:</w:t>
      </w:r>
      <w:r>
        <w:rPr>
          <w:rFonts w:hint="eastAsia" w:ascii="宋体" w:hAnsi="宋体"/>
          <w:color w:val="auto"/>
          <w:sz w:val="25"/>
          <w:szCs w:val="25"/>
          <w:highlight w:val="none"/>
        </w:rPr>
        <w:t>赣州市</w:t>
      </w:r>
      <w:r>
        <w:rPr>
          <w:rFonts w:hint="eastAsia" w:ascii="宋体" w:hAnsi="宋体"/>
          <w:color w:val="auto"/>
          <w:sz w:val="25"/>
          <w:szCs w:val="25"/>
          <w:highlight w:val="none"/>
          <w:lang w:val="en-US" w:eastAsia="zh-CN"/>
        </w:rPr>
        <w:t>肿瘤医院</w:t>
      </w: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（响应供应商法定代表人（经营者、单位负责人）名称）是</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（响应供应商名称）的法定代表人（经营者、单位负责人），特授权</w:t>
      </w:r>
      <w:r>
        <w:rPr>
          <w:rFonts w:hint="eastAsia" w:ascii="宋体" w:hAnsi="宋体"/>
          <w:color w:val="auto"/>
          <w:sz w:val="25"/>
          <w:szCs w:val="25"/>
          <w:highlight w:val="none"/>
          <w:u w:val="single"/>
        </w:rPr>
        <w:t xml:space="preserve">          </w:t>
      </w:r>
      <w:r>
        <w:rPr>
          <w:rFonts w:hint="eastAsia" w:ascii="宋体" w:hAnsi="宋体"/>
          <w:color w:val="auto"/>
          <w:sz w:val="25"/>
          <w:szCs w:val="25"/>
          <w:highlight w:val="none"/>
        </w:rPr>
        <w:t>（被授权人姓名及身份证代码）代表我单位全权办理上述项目的响应、谈判、签约等具体工作，并签署全部有关文件、协议及合同。</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我单位对被授权人的签字负全部责任。</w:t>
      </w:r>
    </w:p>
    <w:p>
      <w:pPr>
        <w:spacing w:line="500" w:lineRule="exact"/>
        <w:ind w:firstLine="500" w:firstLineChars="200"/>
        <w:rPr>
          <w:rFonts w:hint="eastAsia" w:ascii="宋体" w:hAnsi="宋体"/>
          <w:color w:val="auto"/>
          <w:sz w:val="25"/>
          <w:szCs w:val="25"/>
          <w:highlight w:val="none"/>
        </w:rPr>
      </w:pPr>
      <w:r>
        <w:rPr>
          <w:rFonts w:hint="eastAsia" w:ascii="宋体" w:hAnsi="宋体"/>
          <w:color w:val="auto"/>
          <w:sz w:val="25"/>
          <w:szCs w:val="25"/>
          <w:highlight w:val="none"/>
        </w:rPr>
        <w:t>在撤消授权的书面通知以前，本授权书一直有效。被授权人在授权书有效期内签署的所有文件不因授权的撤消而失效。</w:t>
      </w:r>
    </w:p>
    <w:p>
      <w:pPr>
        <w:spacing w:line="500" w:lineRule="exact"/>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被授权人签字：</w:t>
      </w:r>
      <w:r>
        <w:rPr>
          <w:rFonts w:ascii="宋体" w:hAnsi="宋体"/>
          <w:color w:val="auto"/>
          <w:sz w:val="25"/>
          <w:szCs w:val="25"/>
          <w:highlight w:val="none"/>
        </w:rPr>
        <w:t xml:space="preserve"> </w:t>
      </w:r>
      <w:r>
        <w:rPr>
          <w:rFonts w:hint="eastAsia" w:ascii="宋体" w:hAnsi="宋体"/>
          <w:color w:val="auto"/>
          <w:sz w:val="25"/>
          <w:szCs w:val="25"/>
          <w:highlight w:val="none"/>
        </w:rPr>
        <w:t xml:space="preserve">        法定代表人（单位负责人、经营者）签字：</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响应供应商名称（公章）</w:t>
      </w:r>
    </w:p>
    <w:p>
      <w:pPr>
        <w:spacing w:line="500" w:lineRule="exact"/>
        <w:ind w:firstLine="500" w:firstLineChars="200"/>
        <w:rPr>
          <w:rFonts w:ascii="宋体" w:hAnsi="宋体"/>
          <w:color w:val="auto"/>
          <w:sz w:val="25"/>
          <w:szCs w:val="25"/>
          <w:highlight w:val="none"/>
        </w:rPr>
      </w:pPr>
    </w:p>
    <w:p>
      <w:pPr>
        <w:spacing w:line="500" w:lineRule="exact"/>
        <w:ind w:firstLine="500" w:firstLineChars="200"/>
        <w:rPr>
          <w:rFonts w:hint="eastAsia" w:ascii="宋体" w:hAnsi="宋体"/>
          <w:color w:val="auto"/>
          <w:sz w:val="25"/>
          <w:szCs w:val="25"/>
          <w:highlight w:val="none"/>
        </w:rPr>
      </w:pPr>
      <w:r>
        <w:rPr>
          <w:rFonts w:ascii="宋体" w:hAnsi="宋体"/>
          <w:color w:val="auto"/>
          <w:sz w:val="25"/>
          <w:szCs w:val="25"/>
          <w:highlight w:val="none"/>
        </w:rPr>
        <w:t xml:space="preserve">                                      </w:t>
      </w:r>
      <w:r>
        <w:rPr>
          <w:rFonts w:hint="eastAsia" w:ascii="宋体" w:hAnsi="宋体"/>
          <w:color w:val="auto"/>
          <w:sz w:val="25"/>
          <w:szCs w:val="25"/>
          <w:highlight w:val="none"/>
        </w:rPr>
        <w:t>年  月  日</w:t>
      </w:r>
    </w:p>
    <w:tbl>
      <w:tblPr>
        <w:tblStyle w:val="17"/>
        <w:tblpPr w:leftFromText="180" w:rightFromText="180" w:vertAnchor="text" w:horzAnchor="margin" w:tblpY="3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8946" w:type="dxa"/>
            <w:noWrap w:val="0"/>
            <w:vAlign w:val="top"/>
          </w:tcPr>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粘贴被授权人身份证明</w:t>
            </w:r>
            <w:r>
              <w:rPr>
                <w:rFonts w:hint="eastAsia" w:ascii="宋体" w:hAnsi="宋体"/>
                <w:b/>
                <w:color w:val="auto"/>
                <w:sz w:val="25"/>
                <w:szCs w:val="25"/>
                <w:highlight w:val="none"/>
              </w:rPr>
              <w:t>（复印件正、反两面）</w:t>
            </w:r>
          </w:p>
        </w:tc>
      </w:tr>
    </w:tbl>
    <w:p>
      <w:pPr>
        <w:spacing w:line="500" w:lineRule="exact"/>
        <w:ind w:firstLine="500" w:firstLineChars="200"/>
        <w:rPr>
          <w:rFonts w:hint="eastAsia" w:ascii="宋体" w:hAnsi="宋体"/>
          <w:sz w:val="25"/>
          <w:szCs w:val="25"/>
          <w:highlight w:val="none"/>
        </w:rPr>
      </w:pPr>
      <w:bookmarkStart w:id="60" w:name="_Toc423337576"/>
    </w:p>
    <w:p>
      <w:pPr>
        <w:pStyle w:val="5"/>
        <w:ind w:left="0" w:leftChars="0" w:firstLine="0" w:firstLineChars="0"/>
        <w:jc w:val="both"/>
        <w:rPr>
          <w:highlight w:val="none"/>
        </w:rPr>
      </w:pPr>
      <w:r>
        <w:rPr>
          <w:rFonts w:ascii="宋体" w:hAnsi="宋体"/>
          <w:sz w:val="25"/>
          <w:szCs w:val="25"/>
          <w:highlight w:val="none"/>
        </w:rPr>
        <w:br w:type="page"/>
      </w:r>
      <w:bookmarkStart w:id="61" w:name="_Toc469749019"/>
      <w:bookmarkStart w:id="62" w:name="_Toc32460"/>
      <w:r>
        <w:rPr>
          <w:rFonts w:ascii="Arial" w:hAnsi="Arial" w:eastAsia="黑体"/>
          <w:b w:val="0"/>
          <w:bCs w:val="0"/>
          <w:sz w:val="32"/>
          <w:szCs w:val="32"/>
          <w:highlight w:val="none"/>
        </w:rPr>
        <w:t>1</w:t>
      </w:r>
      <w:r>
        <w:rPr>
          <w:rFonts w:hint="eastAsia" w:ascii="Arial" w:hAnsi="Arial" w:eastAsia="黑体"/>
          <w:b w:val="0"/>
          <w:bCs w:val="0"/>
          <w:sz w:val="32"/>
          <w:szCs w:val="32"/>
          <w:highlight w:val="none"/>
          <w:lang w:val="en-US" w:eastAsia="zh-CN"/>
        </w:rPr>
        <w:t>2</w:t>
      </w:r>
      <w:r>
        <w:rPr>
          <w:rFonts w:hint="eastAsia" w:ascii="Arial" w:hAnsi="Arial" w:eastAsia="黑体"/>
          <w:b w:val="0"/>
          <w:bCs w:val="0"/>
          <w:sz w:val="32"/>
          <w:szCs w:val="32"/>
          <w:highlight w:val="none"/>
        </w:rPr>
        <w:t>.</w:t>
      </w:r>
      <w:bookmarkEnd w:id="60"/>
      <w:bookmarkEnd w:id="61"/>
      <w:r>
        <w:rPr>
          <w:rFonts w:hint="eastAsia"/>
          <w:highlight w:val="none"/>
          <w:lang w:eastAsia="zh-CN"/>
        </w:rPr>
        <w:t>基本资格条件承诺函</w:t>
      </w:r>
      <w:r>
        <w:rPr>
          <w:rFonts w:hint="eastAsia"/>
          <w:highlight w:val="none"/>
        </w:rPr>
        <w:t>（格式）</w:t>
      </w:r>
      <w:bookmarkEnd w:id="62"/>
    </w:p>
    <w:p>
      <w:pPr>
        <w:spacing w:line="500" w:lineRule="exact"/>
        <w:ind w:firstLine="500" w:firstLineChars="200"/>
        <w:rPr>
          <w:rFonts w:ascii="宋体" w:hAnsi="宋体"/>
          <w:sz w:val="25"/>
          <w:szCs w:val="25"/>
          <w:highlight w:val="none"/>
        </w:rPr>
      </w:pPr>
    </w:p>
    <w:p>
      <w:pPr>
        <w:spacing w:line="500" w:lineRule="exact"/>
        <w:ind w:firstLine="500" w:firstLineChars="200"/>
        <w:rPr>
          <w:rFonts w:hint="eastAsia" w:ascii="宋体" w:hAnsi="宋体"/>
          <w:sz w:val="25"/>
          <w:szCs w:val="25"/>
          <w:highlight w:val="none"/>
          <w:lang w:val="en-US" w:eastAsia="zh-CN"/>
        </w:rPr>
      </w:pPr>
      <w:r>
        <w:rPr>
          <w:rFonts w:hint="eastAsia" w:ascii="宋体" w:hAnsi="宋体"/>
          <w:sz w:val="25"/>
          <w:szCs w:val="25"/>
          <w:highlight w:val="none"/>
        </w:rPr>
        <w:t>致：赣州市</w:t>
      </w:r>
      <w:r>
        <w:rPr>
          <w:rFonts w:hint="eastAsia" w:ascii="宋体" w:hAnsi="宋体"/>
          <w:sz w:val="25"/>
          <w:szCs w:val="25"/>
          <w:highlight w:val="none"/>
          <w:lang w:val="en-US" w:eastAsia="zh-CN"/>
        </w:rPr>
        <w:t>肿瘤医院</w:t>
      </w:r>
    </w:p>
    <w:p>
      <w:pPr>
        <w:spacing w:line="500" w:lineRule="exact"/>
        <w:ind w:firstLine="500" w:firstLineChars="200"/>
        <w:rPr>
          <w:rFonts w:hint="eastAsia" w:ascii="宋体" w:hAnsi="宋体"/>
          <w:sz w:val="25"/>
          <w:szCs w:val="25"/>
          <w:highlight w:val="none"/>
          <w:lang w:eastAsia="zh-CN"/>
        </w:rPr>
      </w:pPr>
      <w:r>
        <w:rPr>
          <w:rFonts w:hint="eastAsia" w:ascii="宋体" w:hAnsi="宋体"/>
          <w:sz w:val="25"/>
          <w:szCs w:val="25"/>
          <w:highlight w:val="none"/>
          <w:u w:val="single"/>
        </w:rPr>
        <w:t xml:space="preserve">                      </w:t>
      </w:r>
      <w:r>
        <w:rPr>
          <w:rFonts w:hint="eastAsia" w:ascii="宋体" w:hAnsi="宋体"/>
          <w:sz w:val="25"/>
          <w:szCs w:val="25"/>
          <w:highlight w:val="none"/>
        </w:rPr>
        <w:t>（响应供应商名称）郑重承诺</w:t>
      </w:r>
      <w:r>
        <w:rPr>
          <w:rFonts w:hint="eastAsia" w:ascii="宋体" w:hAnsi="宋体"/>
          <w:sz w:val="25"/>
          <w:szCs w:val="25"/>
          <w:highlight w:val="none"/>
          <w:lang w:eastAsia="zh-CN"/>
        </w:rPr>
        <w:t>：</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2.我方未列入在信用中国网站（www.creditchina.gov.cn）“失信被执行人”“重大税收违法案件当事人名单”中，也未列入中国政府、采购网（www.ccgp.gov.cn）“政府采购严重违法失信行为记录名单”中。</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3.我方在采购项目评审环节结束后，随时接受采购人、采购代理机构的检查验证，配合提供相关证明材料，证明符合《中华人民共和国政府采购法》规定的供应商基本资格条件。</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我方对以上承诺负全部法律责任。</w:t>
      </w:r>
    </w:p>
    <w:p>
      <w:pPr>
        <w:spacing w:line="500" w:lineRule="exact"/>
        <w:ind w:firstLine="500" w:firstLineChars="200"/>
        <w:rPr>
          <w:rFonts w:hint="eastAsia" w:ascii="宋体" w:hAnsi="宋体"/>
          <w:sz w:val="25"/>
          <w:szCs w:val="25"/>
          <w:highlight w:val="none"/>
        </w:rPr>
      </w:pPr>
      <w:r>
        <w:rPr>
          <w:rFonts w:hint="eastAsia" w:ascii="宋体" w:hAnsi="宋体"/>
          <w:sz w:val="25"/>
          <w:szCs w:val="25"/>
          <w:highlight w:val="none"/>
        </w:rPr>
        <w:t xml:space="preserve">    特此承诺。</w:t>
      </w: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p>
    <w:p>
      <w:pPr>
        <w:spacing w:line="500" w:lineRule="exact"/>
        <w:ind w:firstLine="540" w:firstLineChars="200"/>
        <w:rPr>
          <w:rFonts w:ascii="宋体" w:hAnsi="宋体"/>
          <w:sz w:val="27"/>
          <w:szCs w:val="27"/>
          <w:highlight w:val="none"/>
        </w:rPr>
      </w:pPr>
      <w:r>
        <w:rPr>
          <w:rFonts w:hint="eastAsia" w:ascii="宋体" w:hAnsi="宋体"/>
          <w:sz w:val="27"/>
          <w:szCs w:val="27"/>
          <w:highlight w:val="none"/>
        </w:rPr>
        <w:t xml:space="preserve">                             </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响应供应商名称（公章）</w:t>
      </w:r>
    </w:p>
    <w:p>
      <w:pPr>
        <w:spacing w:line="500" w:lineRule="exact"/>
        <w:ind w:firstLine="500" w:firstLineChars="200"/>
        <w:rPr>
          <w:rFonts w:ascii="宋体" w:hAnsi="宋体"/>
          <w:color w:val="auto"/>
          <w:sz w:val="25"/>
          <w:szCs w:val="25"/>
          <w:highlight w:val="none"/>
        </w:rPr>
      </w:pPr>
      <w:r>
        <w:rPr>
          <w:rFonts w:hint="eastAsia" w:ascii="宋体" w:hAnsi="宋体"/>
          <w:color w:val="auto"/>
          <w:sz w:val="25"/>
          <w:szCs w:val="25"/>
          <w:highlight w:val="none"/>
        </w:rPr>
        <w:t xml:space="preserve">                                                年  月  日</w:t>
      </w:r>
    </w:p>
    <w:p>
      <w:pPr>
        <w:widowControl/>
        <w:jc w:val="left"/>
        <w:rPr>
          <w:rFonts w:hint="eastAsia" w:ascii="宋体" w:hAnsi="宋体"/>
          <w:sz w:val="27"/>
          <w:szCs w:val="27"/>
          <w:highlight w:val="none"/>
        </w:rPr>
      </w:pP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 xml:space="preserve">说明： </w:t>
      </w:r>
    </w:p>
    <w:p>
      <w:pPr>
        <w:spacing w:line="500" w:lineRule="exact"/>
        <w:ind w:firstLine="500" w:firstLineChars="200"/>
        <w:rPr>
          <w:rFonts w:hint="eastAsia" w:ascii="宋体" w:hAnsi="宋体" w:eastAsia="宋体" w:cs="Times New Roman"/>
          <w:sz w:val="25"/>
          <w:szCs w:val="25"/>
          <w:highlight w:val="none"/>
        </w:rPr>
      </w:pPr>
      <w:r>
        <w:rPr>
          <w:rFonts w:hint="eastAsia" w:ascii="宋体" w:hAnsi="宋体" w:eastAsia="宋体" w:cs="Times New Roman"/>
          <w:sz w:val="25"/>
          <w:szCs w:val="25"/>
          <w:highlight w:val="none"/>
          <w:lang w:val="en-US" w:eastAsia="zh-CN"/>
        </w:rPr>
        <w:t>1、响应供应商在参与采购项目投标时，可对《中华人民共和国政府采购法实施条例》第十七条第一款第（二）项、第（三）项、第（四）项所要求提供的相关材料进行简化。简化后，供应商只需以书面形式提供规定格式的《基本资格条件承诺函》，即可替代以下材料：（1）财务状况报告（表）或其基本开户银行出具的资信证明材料；（2）依法缴纳税收的证明材料；（3）缴纳社会保障金的证明材料；（4）具有履行合同所必需的设备和专业技术能力的证明材料；（5）参加政府采购活动前三年内，在经营活动中没有重大违法记录的证明材料；（6）未被列入失信被执行人、重大税收违法案件当事人名单及政府采购严 重违法失信行为记录名单的证明材料。2、响应供应商应对其承诺内容的真实性、合法性、有效性负责。经调查核实为虚假承诺的，视同为“提供虚假材料谋取中标、成交”的违法行为，依照《中华人民共和国政府采购法》等法律法规追究相应责任。</w:t>
      </w: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bookmarkEnd w:id="34"/>
    <w:bookmarkEnd w:id="35"/>
    <w:p>
      <w:pPr>
        <w:spacing w:line="500" w:lineRule="exact"/>
        <w:ind w:firstLine="2310" w:firstLineChars="1100"/>
        <w:rPr>
          <w:rFonts w:hint="eastAsia" w:ascii="仿宋" w:hAnsi="仿宋" w:eastAsia="仿宋" w:cs="仿宋"/>
          <w:color w:val="auto"/>
          <w:highlight w:val="none"/>
        </w:rPr>
      </w:pPr>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CA0D4"/>
    <w:multiLevelType w:val="singleLevel"/>
    <w:tmpl w:val="95ECA0D4"/>
    <w:lvl w:ilvl="0" w:tentative="0">
      <w:start w:val="1"/>
      <w:numFmt w:val="chineseCounting"/>
      <w:suff w:val="nothing"/>
      <w:lvlText w:val="%1、"/>
      <w:lvlJc w:val="left"/>
      <w:rPr>
        <w:rFonts w:hint="eastAsia"/>
      </w:rPr>
    </w:lvl>
  </w:abstractNum>
  <w:abstractNum w:abstractNumId="1">
    <w:nsid w:val="A0E661A8"/>
    <w:multiLevelType w:val="singleLevel"/>
    <w:tmpl w:val="A0E661A8"/>
    <w:lvl w:ilvl="0" w:tentative="0">
      <w:start w:val="2"/>
      <w:numFmt w:val="chineseCounting"/>
      <w:suff w:val="nothing"/>
      <w:lvlText w:val="%1、"/>
      <w:lvlJc w:val="left"/>
      <w:rPr>
        <w:rFonts w:hint="eastAsia"/>
      </w:rPr>
    </w:lvl>
  </w:abstractNum>
  <w:abstractNum w:abstractNumId="2">
    <w:nsid w:val="D05AFFC4"/>
    <w:multiLevelType w:val="singleLevel"/>
    <w:tmpl w:val="D05AFFC4"/>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ZjhkNjlkY2NhM2UxMTg3MjFkMjZmZWZmNTM0MzYifQ=="/>
  </w:docVars>
  <w:rsids>
    <w:rsidRoot w:val="339D71BA"/>
    <w:rsid w:val="0008625D"/>
    <w:rsid w:val="000D6ED2"/>
    <w:rsid w:val="00110B13"/>
    <w:rsid w:val="00120A39"/>
    <w:rsid w:val="00150A57"/>
    <w:rsid w:val="0019227E"/>
    <w:rsid w:val="001C20BB"/>
    <w:rsid w:val="00205096"/>
    <w:rsid w:val="00256D6F"/>
    <w:rsid w:val="003344C9"/>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CD6AA0"/>
    <w:rsid w:val="07F058A6"/>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0FE57210"/>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E67354"/>
    <w:rsid w:val="13E73FA0"/>
    <w:rsid w:val="13F83CF7"/>
    <w:rsid w:val="1437012C"/>
    <w:rsid w:val="14583BCC"/>
    <w:rsid w:val="14A22FD6"/>
    <w:rsid w:val="14C754E5"/>
    <w:rsid w:val="14D80C9A"/>
    <w:rsid w:val="15023AEC"/>
    <w:rsid w:val="15667510"/>
    <w:rsid w:val="15854079"/>
    <w:rsid w:val="158C4A02"/>
    <w:rsid w:val="15AC21BF"/>
    <w:rsid w:val="15D96EF2"/>
    <w:rsid w:val="16076F78"/>
    <w:rsid w:val="163B3F98"/>
    <w:rsid w:val="16885EBB"/>
    <w:rsid w:val="16A21886"/>
    <w:rsid w:val="16CB313C"/>
    <w:rsid w:val="16E33740"/>
    <w:rsid w:val="17896924"/>
    <w:rsid w:val="17976A63"/>
    <w:rsid w:val="17A443B3"/>
    <w:rsid w:val="17CF6E79"/>
    <w:rsid w:val="17E14DF8"/>
    <w:rsid w:val="180E7A2A"/>
    <w:rsid w:val="18110FCF"/>
    <w:rsid w:val="181F38AD"/>
    <w:rsid w:val="18281C2E"/>
    <w:rsid w:val="18D5781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E7413"/>
    <w:rsid w:val="1E183FBC"/>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D961F9"/>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26041"/>
    <w:rsid w:val="269E55AD"/>
    <w:rsid w:val="26BE4813"/>
    <w:rsid w:val="26E84F07"/>
    <w:rsid w:val="271C7C18"/>
    <w:rsid w:val="274B143B"/>
    <w:rsid w:val="277E453C"/>
    <w:rsid w:val="27937396"/>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93784A"/>
    <w:rsid w:val="29C747FC"/>
    <w:rsid w:val="29E365E4"/>
    <w:rsid w:val="2A443999"/>
    <w:rsid w:val="2A6E4205"/>
    <w:rsid w:val="2A705662"/>
    <w:rsid w:val="2AAA4A40"/>
    <w:rsid w:val="2AE45A50"/>
    <w:rsid w:val="2B453EFD"/>
    <w:rsid w:val="2BBD72CC"/>
    <w:rsid w:val="2C040960"/>
    <w:rsid w:val="2C8741DA"/>
    <w:rsid w:val="2D214A5C"/>
    <w:rsid w:val="2D3E59CB"/>
    <w:rsid w:val="2D8644FB"/>
    <w:rsid w:val="2DB54C60"/>
    <w:rsid w:val="2DC040F4"/>
    <w:rsid w:val="2DFD1F1A"/>
    <w:rsid w:val="2E4F43E9"/>
    <w:rsid w:val="2E95725A"/>
    <w:rsid w:val="2EA4407A"/>
    <w:rsid w:val="2EDA520A"/>
    <w:rsid w:val="2EF07DF3"/>
    <w:rsid w:val="2F0213DA"/>
    <w:rsid w:val="2FA56294"/>
    <w:rsid w:val="2FCE7533"/>
    <w:rsid w:val="2FD033B4"/>
    <w:rsid w:val="2FD460F3"/>
    <w:rsid w:val="2FF47023"/>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A040835"/>
    <w:rsid w:val="3A0B52B8"/>
    <w:rsid w:val="3A603C18"/>
    <w:rsid w:val="3AAB2F27"/>
    <w:rsid w:val="3B223A1C"/>
    <w:rsid w:val="3B766954"/>
    <w:rsid w:val="3B7819CD"/>
    <w:rsid w:val="3BA102E6"/>
    <w:rsid w:val="3BA350AC"/>
    <w:rsid w:val="3BAF469A"/>
    <w:rsid w:val="3BE92FD2"/>
    <w:rsid w:val="3C063CBC"/>
    <w:rsid w:val="3C427E4F"/>
    <w:rsid w:val="3C706310"/>
    <w:rsid w:val="3C8270F1"/>
    <w:rsid w:val="3C8E29B3"/>
    <w:rsid w:val="3C9A19E3"/>
    <w:rsid w:val="3CB7537E"/>
    <w:rsid w:val="3D0F6C9F"/>
    <w:rsid w:val="3D2956A5"/>
    <w:rsid w:val="3D2D5FCE"/>
    <w:rsid w:val="3D40142D"/>
    <w:rsid w:val="3D773BB4"/>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8D0F90"/>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2E7B6D"/>
    <w:rsid w:val="4364078E"/>
    <w:rsid w:val="438B6B53"/>
    <w:rsid w:val="43A90552"/>
    <w:rsid w:val="43B86DC8"/>
    <w:rsid w:val="43CA1935"/>
    <w:rsid w:val="43F6497A"/>
    <w:rsid w:val="440D072C"/>
    <w:rsid w:val="441962ED"/>
    <w:rsid w:val="448C5D23"/>
    <w:rsid w:val="448F5E00"/>
    <w:rsid w:val="44E05D7E"/>
    <w:rsid w:val="450E5785"/>
    <w:rsid w:val="45402D28"/>
    <w:rsid w:val="45622D93"/>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24630D"/>
    <w:rsid w:val="536278FB"/>
    <w:rsid w:val="53916317"/>
    <w:rsid w:val="53CC450F"/>
    <w:rsid w:val="540B69CD"/>
    <w:rsid w:val="54122CFD"/>
    <w:rsid w:val="543A63F5"/>
    <w:rsid w:val="54470894"/>
    <w:rsid w:val="547E4C07"/>
    <w:rsid w:val="549E3E90"/>
    <w:rsid w:val="54A10B73"/>
    <w:rsid w:val="54A179B3"/>
    <w:rsid w:val="54B71EA1"/>
    <w:rsid w:val="54CB5410"/>
    <w:rsid w:val="54DA1C84"/>
    <w:rsid w:val="54EB3AE9"/>
    <w:rsid w:val="553A0817"/>
    <w:rsid w:val="553E4022"/>
    <w:rsid w:val="55591E60"/>
    <w:rsid w:val="55A80FCE"/>
    <w:rsid w:val="563823DE"/>
    <w:rsid w:val="56551447"/>
    <w:rsid w:val="5681623C"/>
    <w:rsid w:val="56A71710"/>
    <w:rsid w:val="56AF1A3B"/>
    <w:rsid w:val="573A0A10"/>
    <w:rsid w:val="57620A84"/>
    <w:rsid w:val="57C069CF"/>
    <w:rsid w:val="58081F3F"/>
    <w:rsid w:val="58481929"/>
    <w:rsid w:val="585D3264"/>
    <w:rsid w:val="588475BE"/>
    <w:rsid w:val="58AD6558"/>
    <w:rsid w:val="59340668"/>
    <w:rsid w:val="594D091E"/>
    <w:rsid w:val="5955468D"/>
    <w:rsid w:val="59690A46"/>
    <w:rsid w:val="59894511"/>
    <w:rsid w:val="59DD5EEE"/>
    <w:rsid w:val="59F76EE8"/>
    <w:rsid w:val="59F92EFD"/>
    <w:rsid w:val="5A0C360D"/>
    <w:rsid w:val="5A19402F"/>
    <w:rsid w:val="5A215113"/>
    <w:rsid w:val="5A262B48"/>
    <w:rsid w:val="5A663301"/>
    <w:rsid w:val="5AAD059B"/>
    <w:rsid w:val="5ACF7498"/>
    <w:rsid w:val="5AE60239"/>
    <w:rsid w:val="5B035FDF"/>
    <w:rsid w:val="5B1174B9"/>
    <w:rsid w:val="5B6A215A"/>
    <w:rsid w:val="5B705501"/>
    <w:rsid w:val="5BD05EC0"/>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143825"/>
    <w:rsid w:val="6C402582"/>
    <w:rsid w:val="6C515C69"/>
    <w:rsid w:val="6C9E1841"/>
    <w:rsid w:val="6CDB782E"/>
    <w:rsid w:val="6CE5286F"/>
    <w:rsid w:val="6CE9458A"/>
    <w:rsid w:val="6CEC6275"/>
    <w:rsid w:val="6D535020"/>
    <w:rsid w:val="6DC50B90"/>
    <w:rsid w:val="6E5166E3"/>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558E4"/>
    <w:rsid w:val="73495D1E"/>
    <w:rsid w:val="734C3A6C"/>
    <w:rsid w:val="735E0BE4"/>
    <w:rsid w:val="73871F27"/>
    <w:rsid w:val="73897C25"/>
    <w:rsid w:val="739217AE"/>
    <w:rsid w:val="73AF0BBF"/>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EB34A1"/>
    <w:rsid w:val="7D0670C0"/>
    <w:rsid w:val="7D263616"/>
    <w:rsid w:val="7D271210"/>
    <w:rsid w:val="7D69558F"/>
    <w:rsid w:val="7D6D5DDD"/>
    <w:rsid w:val="7D707714"/>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6">
    <w:name w:val="heading 3"/>
    <w:basedOn w:val="1"/>
    <w:next w:val="1"/>
    <w:semiHidden/>
    <w:unhideWhenUsed/>
    <w:qFormat/>
    <w:uiPriority w:val="0"/>
    <w:pPr>
      <w:jc w:val="left"/>
      <w:outlineLvl w:val="2"/>
    </w:pPr>
    <w:rPr>
      <w:rFonts w:hint="eastAsia" w:ascii="宋体" w:hAnsi="宋体"/>
      <w:b/>
      <w:kern w:val="0"/>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Arial" w:hAnsi="Arial" w:eastAsia="楷体_GB2312"/>
      <w:b/>
      <w:lang w:eastAsia="en-US"/>
    </w:rPr>
  </w:style>
  <w:style w:type="paragraph" w:customStyle="1" w:styleId="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Body Text Indent"/>
    <w:basedOn w:val="1"/>
    <w:qFormat/>
    <w:uiPriority w:val="0"/>
    <w:pPr>
      <w:tabs>
        <w:tab w:val="right" w:pos="9638"/>
      </w:tabs>
      <w:spacing w:line="680" w:lineRule="exact"/>
      <w:ind w:firstLine="640" w:firstLineChars="200"/>
    </w:pPr>
    <w:rPr>
      <w:rFonts w:ascii="宋体" w:hAnsi="宋体"/>
      <w:sz w:val="32"/>
    </w:rPr>
  </w:style>
  <w:style w:type="paragraph" w:styleId="8">
    <w:name w:val="toc 3"/>
    <w:basedOn w:val="1"/>
    <w:next w:val="1"/>
    <w:qFormat/>
    <w:uiPriority w:val="0"/>
    <w:pPr>
      <w:ind w:left="840" w:leftChars="400"/>
    </w:pPr>
  </w:style>
  <w:style w:type="paragraph" w:styleId="9">
    <w:name w:val="Plain Text"/>
    <w:basedOn w:val="1"/>
    <w:qFormat/>
    <w:uiPriority w:val="0"/>
    <w:rPr>
      <w:rFonts w:ascii="宋体" w:hAnsi="Courier New" w:cs="Verdana"/>
      <w:b/>
      <w:szCs w:val="20"/>
    </w:rPr>
  </w:style>
  <w:style w:type="paragraph" w:styleId="10">
    <w:name w:val="Body Text Indent 2"/>
    <w:basedOn w:val="1"/>
    <w:unhideWhenUsed/>
    <w:qFormat/>
    <w:uiPriority w:val="99"/>
    <w:pPr>
      <w:spacing w:line="480" w:lineRule="auto"/>
      <w:ind w:left="420" w:leftChars="2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tabs>
        <w:tab w:val="right" w:leader="dot" w:pos="9514"/>
      </w:tabs>
      <w:spacing w:line="360" w:lineRule="auto"/>
      <w:ind w:left="-360" w:leftChars="-257" w:hanging="180" w:hangingChars="50"/>
    </w:pPr>
  </w:style>
  <w:style w:type="paragraph" w:styleId="14">
    <w:name w:val="toc 2"/>
    <w:basedOn w:val="1"/>
    <w:next w:val="1"/>
    <w:qFormat/>
    <w:uiPriority w:val="0"/>
    <w:pPr>
      <w:ind w:left="210"/>
      <w:jc w:val="left"/>
    </w:pPr>
    <w:rPr>
      <w:smallCaps/>
      <w:szCs w:val="20"/>
    </w:rPr>
  </w:style>
  <w:style w:type="paragraph" w:styleId="15">
    <w:name w:val="Normal (Web)"/>
    <w:basedOn w:val="1"/>
    <w:qFormat/>
    <w:uiPriority w:val="0"/>
    <w:rPr>
      <w:sz w:val="24"/>
    </w:rPr>
  </w:style>
  <w:style w:type="paragraph" w:styleId="16">
    <w:name w:val="Title"/>
    <w:basedOn w:val="1"/>
    <w:next w:val="1"/>
    <w:qFormat/>
    <w:uiPriority w:val="10"/>
    <w:pPr>
      <w:widowControl/>
      <w:spacing w:before="240" w:after="60"/>
      <w:ind w:firstLine="0" w:firstLineChars="0"/>
      <w:jc w:val="center"/>
      <w:outlineLvl w:val="0"/>
    </w:pPr>
    <w:rPr>
      <w:rFonts w:ascii="仿宋" w:hAnsi="仿宋" w:eastAsia="仿宋" w:cs="Times New Roman"/>
      <w:b/>
      <w:bCs/>
      <w:color w:val="000000"/>
      <w:kern w:val="0"/>
      <w:sz w:val="32"/>
      <w:szCs w:val="32"/>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Strong"/>
    <w:basedOn w:val="19"/>
    <w:qFormat/>
    <w:uiPriority w:val="0"/>
    <w:rPr>
      <w:b/>
      <w:sz w:val="24"/>
      <w:szCs w:val="24"/>
    </w:rPr>
  </w:style>
  <w:style w:type="character" w:styleId="21">
    <w:name w:val="page number"/>
    <w:basedOn w:val="19"/>
    <w:qFormat/>
    <w:uiPriority w:val="0"/>
  </w:style>
  <w:style w:type="character" w:styleId="22">
    <w:name w:val="FollowedHyperlink"/>
    <w:basedOn w:val="19"/>
    <w:qFormat/>
    <w:uiPriority w:val="0"/>
    <w:rPr>
      <w:color w:val="800080"/>
      <w:u w:val="none"/>
    </w:rPr>
  </w:style>
  <w:style w:type="character" w:styleId="23">
    <w:name w:val="Emphasis"/>
    <w:basedOn w:val="19"/>
    <w:qFormat/>
    <w:uiPriority w:val="0"/>
    <w:rPr>
      <w:b/>
      <w:bdr w:val="single" w:color="D6D6D6" w:sz="6" w:space="0"/>
      <w:shd w:val="clear" w:color="auto" w:fill="F9F9F9"/>
    </w:rPr>
  </w:style>
  <w:style w:type="character" w:styleId="24">
    <w:name w:val="HTML Definition"/>
    <w:basedOn w:val="19"/>
    <w:qFormat/>
    <w:uiPriority w:val="0"/>
    <w:rPr>
      <w:color w:val="FFFFFF"/>
      <w:shd w:val="clear" w:color="auto" w:fill="048FD2"/>
    </w:rPr>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style>
  <w:style w:type="character" w:styleId="27">
    <w:name w:val="HTML Variable"/>
    <w:basedOn w:val="19"/>
    <w:qFormat/>
    <w:uiPriority w:val="0"/>
  </w:style>
  <w:style w:type="character" w:styleId="28">
    <w:name w:val="Hyperlink"/>
    <w:basedOn w:val="19"/>
    <w:qFormat/>
    <w:uiPriority w:val="0"/>
    <w:rPr>
      <w:color w:val="0000FF"/>
      <w:u w:val="none"/>
    </w:rPr>
  </w:style>
  <w:style w:type="character" w:styleId="29">
    <w:name w:val="HTML Code"/>
    <w:basedOn w:val="19"/>
    <w:qFormat/>
    <w:uiPriority w:val="0"/>
    <w:rPr>
      <w:rFonts w:hint="default" w:ascii="monospace" w:hAnsi="monospace" w:eastAsia="monospace" w:cs="monospace"/>
      <w:sz w:val="20"/>
    </w:rPr>
  </w:style>
  <w:style w:type="character" w:styleId="30">
    <w:name w:val="HTML Cite"/>
    <w:basedOn w:val="19"/>
    <w:qFormat/>
    <w:uiPriority w:val="0"/>
  </w:style>
  <w:style w:type="character" w:styleId="31">
    <w:name w:val="HTML Keyboard"/>
    <w:basedOn w:val="19"/>
    <w:qFormat/>
    <w:uiPriority w:val="0"/>
    <w:rPr>
      <w:rFonts w:hint="default" w:ascii="monospace" w:hAnsi="monospace" w:eastAsia="monospace" w:cs="monospace"/>
      <w:sz w:val="20"/>
    </w:rPr>
  </w:style>
  <w:style w:type="character" w:styleId="32">
    <w:name w:val="HTML Sample"/>
    <w:basedOn w:val="19"/>
    <w:qFormat/>
    <w:uiPriority w:val="0"/>
    <w:rPr>
      <w:rFonts w:ascii="monospace" w:hAnsi="monospace" w:eastAsia="monospace" w:cs="monospace"/>
    </w:rPr>
  </w:style>
  <w:style w:type="character" w:customStyle="1" w:styleId="33">
    <w:name w:val="font31"/>
    <w:basedOn w:val="19"/>
    <w:qFormat/>
    <w:uiPriority w:val="0"/>
    <w:rPr>
      <w:rFonts w:hint="eastAsia" w:ascii="宋体" w:hAnsi="宋体" w:eastAsia="宋体" w:cs="宋体"/>
      <w:color w:val="000000"/>
      <w:sz w:val="20"/>
      <w:szCs w:val="20"/>
      <w:u w:val="none"/>
    </w:rPr>
  </w:style>
  <w:style w:type="character" w:customStyle="1" w:styleId="34">
    <w:name w:val="font01"/>
    <w:basedOn w:val="19"/>
    <w:qFormat/>
    <w:uiPriority w:val="0"/>
    <w:rPr>
      <w:rFonts w:hint="eastAsia" w:ascii="宋体" w:hAnsi="宋体" w:eastAsia="宋体" w:cs="宋体"/>
      <w:color w:val="000000"/>
      <w:sz w:val="20"/>
      <w:szCs w:val="20"/>
      <w:u w:val="none"/>
      <w:vertAlign w:val="superscript"/>
    </w:rPr>
  </w:style>
  <w:style w:type="paragraph" w:customStyle="1" w:styleId="35">
    <w:name w:val="监标题3"/>
    <w:basedOn w:val="1"/>
    <w:qFormat/>
    <w:uiPriority w:val="0"/>
    <w:pPr>
      <w:spacing w:line="560" w:lineRule="exact"/>
      <w:jc w:val="center"/>
    </w:pPr>
    <w:rPr>
      <w:rFonts w:ascii="宋体" w:hAnsi="宋体"/>
      <w:b/>
      <w:color w:val="000000"/>
      <w:sz w:val="28"/>
      <w:szCs w:val="20"/>
    </w:rPr>
  </w:style>
  <w:style w:type="character" w:customStyle="1" w:styleId="36">
    <w:name w:val="font11"/>
    <w:basedOn w:val="19"/>
    <w:qFormat/>
    <w:uiPriority w:val="0"/>
    <w:rPr>
      <w:rFonts w:hint="eastAsia" w:ascii="宋体" w:hAnsi="宋体" w:eastAsia="宋体" w:cs="宋体"/>
      <w:color w:val="000000"/>
      <w:sz w:val="22"/>
      <w:szCs w:val="22"/>
      <w:u w:val="none"/>
    </w:rPr>
  </w:style>
  <w:style w:type="paragraph" w:customStyle="1" w:styleId="37">
    <w:name w:val="列出段落1"/>
    <w:basedOn w:val="1"/>
    <w:qFormat/>
    <w:uiPriority w:val="34"/>
    <w:pPr>
      <w:ind w:firstLine="420" w:firstLineChars="200"/>
    </w:pPr>
  </w:style>
  <w:style w:type="character" w:customStyle="1" w:styleId="38">
    <w:name w:val="font21"/>
    <w:basedOn w:val="19"/>
    <w:qFormat/>
    <w:uiPriority w:val="0"/>
    <w:rPr>
      <w:rFonts w:hint="eastAsia" w:ascii="宋体" w:hAnsi="宋体" w:eastAsia="宋体" w:cs="宋体"/>
      <w:color w:val="000000"/>
      <w:sz w:val="20"/>
      <w:szCs w:val="20"/>
      <w:u w:val="none"/>
      <w:vertAlign w:val="superscript"/>
    </w:rPr>
  </w:style>
  <w:style w:type="character" w:customStyle="1" w:styleId="39">
    <w:name w:val="font111"/>
    <w:basedOn w:val="19"/>
    <w:qFormat/>
    <w:uiPriority w:val="0"/>
    <w:rPr>
      <w:rFonts w:hint="eastAsia" w:ascii="宋体" w:hAnsi="宋体" w:eastAsia="宋体" w:cs="宋体"/>
      <w:color w:val="000000"/>
      <w:sz w:val="20"/>
      <w:szCs w:val="20"/>
      <w:u w:val="none"/>
      <w:vertAlign w:val="superscript"/>
    </w:rPr>
  </w:style>
  <w:style w:type="paragraph" w:styleId="40">
    <w:name w:val="List Paragraph"/>
    <w:basedOn w:val="1"/>
    <w:qFormat/>
    <w:uiPriority w:val="34"/>
    <w:pPr>
      <w:ind w:firstLine="420"/>
    </w:pPr>
  </w:style>
  <w:style w:type="character" w:customStyle="1" w:styleId="41">
    <w:name w:val="NormalCharacter"/>
    <w:qFormat/>
    <w:uiPriority w:val="0"/>
    <w:rPr>
      <w:sz w:val="20"/>
    </w:rPr>
  </w:style>
  <w:style w:type="table" w:customStyle="1" w:styleId="42">
    <w:name w:val="网格型1"/>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33</Pages>
  <Words>10462</Words>
  <Characters>10962</Characters>
  <Lines>111</Lines>
  <Paragraphs>31</Paragraphs>
  <TotalTime>4</TotalTime>
  <ScaleCrop>false</ScaleCrop>
  <LinksUpToDate>false</LinksUpToDate>
  <CharactersWithSpaces>11830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Administrator</cp:lastModifiedBy>
  <cp:lastPrinted>2021-06-22T07:03:00Z</cp:lastPrinted>
  <dcterms:modified xsi:type="dcterms:W3CDTF">2022-11-29T01:46:04Z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9757BC6343A446379646FE5D8119DCC1</vt:lpwstr>
  </property>
</Properties>
</file>