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电动病床及多功能转运推车</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二</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4"/>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5"/>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pStyle w:val="5"/>
        <w:numPr>
          <w:numId w:val="0"/>
        </w:numPr>
        <w:spacing w:line="240" w:lineRule="auto"/>
        <w:ind w:firstLine="560" w:firstLineChars="200"/>
        <w:jc w:val="both"/>
        <w:rPr>
          <w:rFonts w:hint="eastAsia" w:ascii="仿宋" w:hAnsi="仿宋" w:eastAsia="仿宋" w:cs="仿宋"/>
          <w:b w:val="0"/>
          <w:bCs w:val="0"/>
          <w:i w:val="0"/>
          <w:iCs w:val="0"/>
          <w:caps w:val="0"/>
          <w:color w:val="auto"/>
          <w:spacing w:val="0"/>
          <w:sz w:val="28"/>
          <w:szCs w:val="28"/>
          <w:highlight w:val="none"/>
        </w:rPr>
      </w:pPr>
      <w:r>
        <w:rPr>
          <w:rFonts w:hint="eastAsia" w:ascii="仿宋" w:hAnsi="仿宋" w:eastAsia="仿宋" w:cs="仿宋"/>
          <w:b w:val="0"/>
          <w:bCs w:val="0"/>
          <w:i w:val="0"/>
          <w:iCs w:val="0"/>
          <w:caps w:val="0"/>
          <w:color w:val="auto"/>
          <w:spacing w:val="0"/>
          <w:kern w:val="0"/>
          <w:sz w:val="28"/>
          <w:szCs w:val="28"/>
          <w:highlight w:val="none"/>
          <w:lang w:val="en-US" w:eastAsia="zh-CN" w:bidi="ar"/>
        </w:rPr>
        <w:t>赣州市肿瘤医院就电动病床及多功能转运推车项目进行竞争性谈判，现欢迎符合资格条件的供应商前来参加。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仿宋" w:hAnsi="仿宋" w:eastAsia="仿宋" w:cs="仿宋"/>
          <w:color w:val="auto"/>
          <w:sz w:val="28"/>
          <w:szCs w:val="28"/>
          <w:highlight w:val="none"/>
          <w:lang w:val="en-US" w:eastAsia="zh-CN"/>
        </w:rPr>
      </w:pPr>
      <w:r>
        <w:rPr>
          <w:rStyle w:val="20"/>
          <w:rFonts w:hint="eastAsia" w:ascii="仿宋" w:hAnsi="仿宋" w:eastAsia="仿宋" w:cs="仿宋"/>
          <w:b/>
          <w:bCs/>
          <w:i w:val="0"/>
          <w:iCs w:val="0"/>
          <w:caps w:val="0"/>
          <w:color w:val="auto"/>
          <w:spacing w:val="0"/>
          <w:sz w:val="28"/>
          <w:szCs w:val="28"/>
          <w:highlight w:val="none"/>
          <w:lang w:val="en-US" w:eastAsia="zh-CN"/>
        </w:rPr>
        <w:t>一、</w:t>
      </w:r>
      <w:r>
        <w:rPr>
          <w:rStyle w:val="20"/>
          <w:rFonts w:hint="eastAsia" w:ascii="仿宋" w:hAnsi="仿宋" w:eastAsia="仿宋" w:cs="仿宋"/>
          <w:b/>
          <w:bCs/>
          <w:i w:val="0"/>
          <w:iCs w:val="0"/>
          <w:caps w:val="0"/>
          <w:color w:val="auto"/>
          <w:spacing w:val="0"/>
          <w:sz w:val="28"/>
          <w:szCs w:val="28"/>
          <w:highlight w:val="none"/>
        </w:rPr>
        <w:t>项目编号：</w:t>
      </w:r>
      <w:r>
        <w:rPr>
          <w:rFonts w:hint="eastAsia" w:ascii="仿宋" w:hAnsi="仿宋" w:eastAsia="仿宋" w:cs="仿宋"/>
          <w:i w:val="0"/>
          <w:iCs w:val="0"/>
          <w:caps w:val="0"/>
          <w:color w:val="auto"/>
          <w:spacing w:val="0"/>
          <w:sz w:val="28"/>
          <w:szCs w:val="28"/>
          <w:highlight w:val="none"/>
          <w:lang w:val="en-US" w:eastAsia="zh-CN"/>
        </w:rPr>
        <w:t>SB2022-1103</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采购方式：</w:t>
      </w:r>
      <w:r>
        <w:rPr>
          <w:rFonts w:hint="eastAsia" w:ascii="仿宋" w:hAnsi="仿宋" w:eastAsia="仿宋" w:cs="仿宋"/>
          <w:i w:val="0"/>
          <w:iCs w:val="0"/>
          <w:caps w:val="0"/>
          <w:color w:val="auto"/>
          <w:spacing w:val="0"/>
          <w:kern w:val="0"/>
          <w:sz w:val="28"/>
          <w:szCs w:val="28"/>
          <w:highlight w:val="none"/>
          <w:lang w:val="en-US" w:eastAsia="zh-CN" w:bidi="ar"/>
        </w:rPr>
        <w:t>竞争性谈判</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三、采购内容：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2409"/>
        <w:gridCol w:w="1553"/>
        <w:gridCol w:w="157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序号</w:t>
            </w:r>
          </w:p>
        </w:tc>
        <w:tc>
          <w:tcPr>
            <w:tcW w:w="2409"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货物名称</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数量</w:t>
            </w:r>
          </w:p>
        </w:tc>
        <w:tc>
          <w:tcPr>
            <w:tcW w:w="1570"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预算金额（元）</w:t>
            </w:r>
          </w:p>
        </w:tc>
        <w:tc>
          <w:tcPr>
            <w:tcW w:w="1991"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1</w:t>
            </w:r>
          </w:p>
        </w:tc>
        <w:tc>
          <w:tcPr>
            <w:tcW w:w="2409"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电动病床</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4张</w:t>
            </w:r>
          </w:p>
        </w:tc>
        <w:tc>
          <w:tcPr>
            <w:tcW w:w="1570" w:type="dxa"/>
            <w:vMerge w:val="restart"/>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94000.00</w:t>
            </w:r>
          </w:p>
        </w:tc>
        <w:tc>
          <w:tcPr>
            <w:tcW w:w="1991" w:type="dxa"/>
            <w:vMerge w:val="restart"/>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2</w:t>
            </w:r>
          </w:p>
        </w:tc>
        <w:tc>
          <w:tcPr>
            <w:tcW w:w="2409"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多功能转运推车</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1辆</w:t>
            </w:r>
          </w:p>
        </w:tc>
        <w:tc>
          <w:tcPr>
            <w:tcW w:w="1570"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p>
        </w:tc>
        <w:tc>
          <w:tcPr>
            <w:tcW w:w="1991" w:type="dxa"/>
            <w:vMerge w:val="continue"/>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p>
        </w:tc>
      </w:tr>
    </w:tbl>
    <w:p>
      <w:pPr>
        <w:numPr>
          <w:ilvl w:val="0"/>
          <w:numId w:val="0"/>
        </w:numPr>
        <w:ind w:leftChars="0"/>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四、谈判方式：</w:t>
      </w:r>
    </w:p>
    <w:p>
      <w:pPr>
        <w:numPr>
          <w:ilvl w:val="0"/>
          <w:numId w:val="0"/>
        </w:numPr>
        <w:ind w:leftChars="0" w:firstLine="560" w:firstLineChars="200"/>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本项目为整体打包，不接受单一或部分品目报价。不接受联合体响应。开启结束后，谈判小组所有成员集中，与各响应供应商就采购项目中技术参数、售后服务以及合同草案条款等分别进行谈判，谈判小组在谈判结束后</w:t>
      </w:r>
      <w:bookmarkStart w:id="63" w:name="_GoBack"/>
      <w:bookmarkEnd w:id="63"/>
      <w:r>
        <w:rPr>
          <w:rFonts w:hint="eastAsia" w:ascii="仿宋" w:hAnsi="仿宋" w:eastAsia="仿宋" w:cs="仿宋"/>
          <w:i w:val="0"/>
          <w:iCs w:val="0"/>
          <w:caps w:val="0"/>
          <w:color w:val="auto"/>
          <w:spacing w:val="0"/>
          <w:kern w:val="0"/>
          <w:sz w:val="28"/>
          <w:szCs w:val="28"/>
          <w:highlight w:val="none"/>
          <w:lang w:val="en-US" w:eastAsia="zh-CN" w:bidi="ar"/>
        </w:rPr>
        <w:t>，要求符合条件的所有参加谈判的响应供应商在规定的时间内提出最终报价（二次报价）。在没有修正参数的前提下，最终报价（二次报价）不得高于第一次报价。谈判顺序由报名顺序决定。</w:t>
      </w:r>
    </w:p>
    <w:p>
      <w:pPr>
        <w:numPr>
          <w:ilvl w:val="0"/>
          <w:numId w:val="0"/>
        </w:numPr>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五、响应供应商的资格要求：</w:t>
      </w:r>
    </w:p>
    <w:p>
      <w:pPr>
        <w:ind w:left="559" w:leftChars="266" w:firstLine="0" w:firstLineChars="0"/>
        <w:rPr>
          <w:rFonts w:hint="eastAsia" w:ascii="仿宋" w:hAnsi="仿宋" w:eastAsia="仿宋" w:cs="仿宋"/>
          <w:i w:val="0"/>
          <w:iCs w:val="0"/>
          <w:caps w:val="0"/>
          <w:color w:val="auto"/>
          <w:spacing w:val="0"/>
          <w:sz w:val="28"/>
          <w:szCs w:val="28"/>
          <w:highlight w:val="none"/>
          <w:lang w:eastAsia="zh-CN"/>
        </w:rPr>
      </w:pPr>
      <w:r>
        <w:rPr>
          <w:rFonts w:hint="eastAsia" w:ascii="仿宋" w:hAnsi="仿宋" w:eastAsia="仿宋" w:cs="仿宋"/>
          <w:i w:val="0"/>
          <w:iCs w:val="0"/>
          <w:caps w:val="0"/>
          <w:color w:val="auto"/>
          <w:spacing w:val="0"/>
          <w:sz w:val="28"/>
          <w:szCs w:val="28"/>
          <w:highlight w:val="none"/>
          <w:lang w:val="en-US" w:eastAsia="zh-CN"/>
        </w:rPr>
        <w:t>1、</w:t>
      </w:r>
      <w:r>
        <w:rPr>
          <w:rFonts w:hint="eastAsia" w:ascii="仿宋" w:hAnsi="仿宋" w:eastAsia="仿宋" w:cs="仿宋"/>
          <w:i w:val="0"/>
          <w:iCs w:val="0"/>
          <w:caps w:val="0"/>
          <w:color w:val="auto"/>
          <w:spacing w:val="0"/>
          <w:sz w:val="28"/>
          <w:szCs w:val="28"/>
          <w:highlight w:val="none"/>
        </w:rPr>
        <w:t>具有独立承担民事责任的能力；</w:t>
      </w:r>
    </w:p>
    <w:p>
      <w:pPr>
        <w:ind w:left="559" w:leftChars="266" w:firstLine="0" w:firstLineChars="0"/>
        <w:rPr>
          <w:rFonts w:hint="eastAsia" w:ascii="仿宋" w:hAnsi="仿宋" w:eastAsia="仿宋" w:cs="仿宋"/>
          <w:i w:val="0"/>
          <w:iCs w:val="0"/>
          <w:caps w:val="0"/>
          <w:color w:val="auto"/>
          <w:spacing w:val="0"/>
          <w:sz w:val="28"/>
          <w:szCs w:val="28"/>
          <w:highlight w:val="none"/>
          <w:lang w:eastAsia="zh-CN"/>
        </w:rPr>
      </w:pPr>
      <w:r>
        <w:rPr>
          <w:rFonts w:hint="eastAsia" w:ascii="仿宋" w:hAnsi="仿宋" w:eastAsia="仿宋" w:cs="仿宋"/>
          <w:i w:val="0"/>
          <w:iCs w:val="0"/>
          <w:caps w:val="0"/>
          <w:color w:val="auto"/>
          <w:spacing w:val="0"/>
          <w:sz w:val="28"/>
          <w:szCs w:val="28"/>
          <w:highlight w:val="none"/>
          <w:lang w:val="en-US" w:eastAsia="zh-CN"/>
        </w:rPr>
        <w:t>2、</w:t>
      </w:r>
      <w:r>
        <w:rPr>
          <w:rFonts w:hint="eastAsia" w:ascii="仿宋" w:hAnsi="仿宋" w:eastAsia="仿宋" w:cs="仿宋"/>
          <w:i w:val="0"/>
          <w:iCs w:val="0"/>
          <w:caps w:val="0"/>
          <w:color w:val="auto"/>
          <w:spacing w:val="0"/>
          <w:sz w:val="28"/>
          <w:szCs w:val="28"/>
          <w:highlight w:val="none"/>
        </w:rPr>
        <w:t>具有履行合同所必需的设备和专业技术能力；</w:t>
      </w:r>
    </w:p>
    <w:p>
      <w:pPr>
        <w:ind w:left="559" w:leftChars="266" w:firstLine="0" w:firstLineChars="0"/>
        <w:rPr>
          <w:rFonts w:hint="eastAsia" w:ascii="仿宋" w:hAnsi="仿宋" w:eastAsia="仿宋" w:cs="仿宋"/>
          <w:i w:val="0"/>
          <w:iCs w:val="0"/>
          <w:caps w:val="0"/>
          <w:color w:val="auto"/>
          <w:spacing w:val="0"/>
          <w:sz w:val="28"/>
          <w:szCs w:val="28"/>
          <w:highlight w:val="none"/>
          <w:lang w:eastAsia="zh-CN"/>
        </w:rPr>
      </w:pPr>
      <w:r>
        <w:rPr>
          <w:rFonts w:hint="eastAsia" w:ascii="仿宋" w:hAnsi="仿宋" w:eastAsia="仿宋" w:cs="仿宋"/>
          <w:i w:val="0"/>
          <w:iCs w:val="0"/>
          <w:caps w:val="0"/>
          <w:color w:val="auto"/>
          <w:spacing w:val="0"/>
          <w:sz w:val="28"/>
          <w:szCs w:val="28"/>
          <w:highlight w:val="none"/>
          <w:lang w:val="en-US" w:eastAsia="zh-CN"/>
        </w:rPr>
        <w:t>3、</w:t>
      </w:r>
      <w:r>
        <w:rPr>
          <w:rFonts w:hint="eastAsia" w:ascii="仿宋" w:hAnsi="仿宋" w:eastAsia="仿宋" w:cs="仿宋"/>
          <w:i w:val="0"/>
          <w:iCs w:val="0"/>
          <w:caps w:val="0"/>
          <w:color w:val="auto"/>
          <w:spacing w:val="0"/>
          <w:sz w:val="28"/>
          <w:szCs w:val="28"/>
          <w:highlight w:val="none"/>
        </w:rPr>
        <w:t>有依法缴纳税收和社会保障资金的良好记录；</w:t>
      </w:r>
    </w:p>
    <w:p>
      <w:pPr>
        <w:ind w:left="559" w:leftChars="266" w:firstLine="0" w:firstLineChars="0"/>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i w:val="0"/>
          <w:iCs w:val="0"/>
          <w:caps w:val="0"/>
          <w:color w:val="auto"/>
          <w:spacing w:val="0"/>
          <w:sz w:val="28"/>
          <w:szCs w:val="28"/>
          <w:highlight w:val="none"/>
          <w:lang w:val="en-US" w:eastAsia="zh-CN"/>
        </w:rPr>
        <w:t>4、</w:t>
      </w:r>
      <w:r>
        <w:rPr>
          <w:rFonts w:hint="eastAsia" w:ascii="仿宋" w:hAnsi="仿宋" w:eastAsia="仿宋" w:cs="仿宋"/>
          <w:i w:val="0"/>
          <w:iCs w:val="0"/>
          <w:caps w:val="0"/>
          <w:color w:val="auto"/>
          <w:spacing w:val="0"/>
          <w:sz w:val="28"/>
          <w:szCs w:val="28"/>
          <w:highlight w:val="none"/>
        </w:rPr>
        <w:t>参加采购活动前三年内，在经营活动中没有重大违法记录。</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其他资格条件：</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5.1所投一、二、三类医疗器械产品用于临床的：二、三类医疗器械产品的须具有医疗器械注册证及登记表（新证不需登记表），一类医疗器械产品的须具有产品备案登记凭证；</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5.2所投在中华人民共和国境内生产的一、二、三类医疗器械产品用于临床的：二、三类医疗器械产品须具有医疗器械生产许可证,一类医疗器械产品的须具有医疗器械生产备案凭证；</w:t>
      </w:r>
    </w:p>
    <w:p>
      <w:pPr>
        <w:ind w:firstLine="560" w:firstLineChars="200"/>
        <w:rPr>
          <w:rFonts w:hint="eastAsia" w:ascii="仿宋" w:hAnsi="仿宋" w:eastAsia="仿宋" w:cs="仿宋"/>
          <w:color w:val="auto"/>
          <w:highlight w:val="none"/>
        </w:rPr>
      </w:pPr>
      <w:r>
        <w:rPr>
          <w:rFonts w:hint="eastAsia" w:ascii="仿宋" w:hAnsi="仿宋" w:eastAsia="仿宋" w:cs="仿宋"/>
          <w:color w:val="auto"/>
          <w:sz w:val="28"/>
          <w:szCs w:val="28"/>
          <w:highlight w:val="none"/>
        </w:rPr>
        <w:t>5.3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报名时间、报名方式：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本次竞争性谈判活动采用邮箱报名，不需要到现场报名，供应商须将报名表、营业执照扫描件于2022年12月1日下午17:00之前发送到到电子邮箱gzszlyycgb@126.com。如有疑问，请拨打电话0797-</w:t>
      </w:r>
      <w:r>
        <w:rPr>
          <w:rFonts w:hint="eastAsia" w:ascii="仿宋" w:hAnsi="仿宋" w:eastAsia="仿宋" w:cs="仿宋"/>
          <w:b w:val="0"/>
          <w:bCs w:val="0"/>
          <w:i w:val="0"/>
          <w:iCs w:val="0"/>
          <w:caps w:val="0"/>
          <w:color w:val="auto"/>
          <w:spacing w:val="0"/>
          <w:kern w:val="0"/>
          <w:sz w:val="28"/>
          <w:szCs w:val="28"/>
          <w:highlight w:val="none"/>
          <w:lang w:val="en-US" w:eastAsia="zh-CN" w:bidi="ar"/>
        </w:rPr>
        <w:t>8105097游龙跃</w:t>
      </w: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七、响应截止时间和谈判时间：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现场响应截止时间：2022年12月2日（星期五）上午9：00。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default"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现场谈判地点：赣州市肿瘤医院机关楼会议室（医院食堂旁边）。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谈判文件一式三份（一正两副），资料按要求胶装成册。逾期或不符合规定的竞谈响应文件恕不接受。签到时应主动出示身份证明原件。（温馨提示：疫情期间，请各响应供应商提前按政府疫情防控相关要求做好准备。）</w:t>
      </w:r>
    </w:p>
    <w:p>
      <w:pPr>
        <w:numPr>
          <w:ilvl w:val="0"/>
          <w:numId w:val="0"/>
        </w:numPr>
        <w:ind w:left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八、</w:t>
      </w:r>
      <w:r>
        <w:rPr>
          <w:rFonts w:hint="eastAsia" w:ascii="仿宋" w:hAnsi="仿宋" w:eastAsia="仿宋" w:cs="仿宋"/>
          <w:b/>
          <w:bCs/>
          <w:color w:val="auto"/>
          <w:sz w:val="28"/>
          <w:szCs w:val="28"/>
          <w:highlight w:val="none"/>
        </w:rPr>
        <w:t>履约保证金及退回方式：</w:t>
      </w:r>
    </w:p>
    <w:p>
      <w:pPr>
        <w:ind w:firstLine="560" w:firstLineChars="200"/>
        <w:rPr>
          <w:rFonts w:hint="eastAsia" w:ascii="仿宋" w:hAnsi="仿宋" w:eastAsia="仿宋" w:cs="仿宋"/>
          <w:b/>
          <w:bCs/>
          <w:kern w:val="0"/>
          <w:sz w:val="28"/>
          <w:szCs w:val="28"/>
          <w:highlight w:val="none"/>
        </w:rPr>
      </w:pPr>
      <w:r>
        <w:rPr>
          <w:rFonts w:hint="eastAsia" w:ascii="仿宋" w:hAnsi="仿宋" w:eastAsia="仿宋" w:cs="仿宋"/>
          <w:sz w:val="28"/>
          <w:szCs w:val="28"/>
          <w:highlight w:val="none"/>
        </w:rPr>
        <w:t>履约保证金及退回方式：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九</w:t>
      </w:r>
      <w:r>
        <w:rPr>
          <w:rFonts w:hint="eastAsia" w:ascii="仿宋" w:hAnsi="仿宋" w:eastAsia="仿宋" w:cs="仿宋"/>
          <w:b/>
          <w:bCs/>
          <w:color w:val="auto"/>
          <w:sz w:val="28"/>
          <w:szCs w:val="28"/>
          <w:highlight w:val="none"/>
        </w:rPr>
        <w:t>、付款方式：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合同签订、货物送达、安装调试、培训完成且验收合格,收到符合国家法律规定的税票后30天内支付合同总额的100%。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十、联系方式：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采购人：赣州市肿瘤医院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地址：赣州市水东镇花园前19号</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电话：0797-8105097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联系人：游龙跃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网址：http://www.gzzlyy.com/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auto"/>
          <w:spacing w:val="0"/>
          <w:sz w:val="28"/>
          <w:szCs w:val="28"/>
          <w:highlight w:val="none"/>
          <w:lang w:val="en-US"/>
        </w:rPr>
      </w:pPr>
      <w:r>
        <w:rPr>
          <w:rFonts w:hint="eastAsia" w:ascii="仿宋" w:hAnsi="仿宋" w:eastAsia="仿宋" w:cs="仿宋"/>
          <w:i w:val="0"/>
          <w:iCs w:val="0"/>
          <w:caps w:val="0"/>
          <w:color w:val="auto"/>
          <w:spacing w:val="0"/>
          <w:kern w:val="0"/>
          <w:sz w:val="28"/>
          <w:szCs w:val="28"/>
          <w:highlight w:val="none"/>
          <w:lang w:val="en-US" w:eastAsia="zh-CN" w:bidi="ar"/>
        </w:rPr>
        <w:t> 附件1：赣州肿瘤医院采购会报名表</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none"/>
              </w:rPr>
              <w:fldChar w:fldCharType="begin"/>
            </w:r>
            <w:r>
              <w:rPr>
                <w:rFonts w:hint="eastAsia" w:ascii="仿宋" w:hAnsi="仿宋" w:eastAsia="仿宋" w:cs="仿宋"/>
                <w:color w:val="auto"/>
                <w:sz w:val="28"/>
                <w:szCs w:val="28"/>
                <w:highlight w:val="none"/>
                <w:u w:val="none"/>
              </w:rPr>
              <w:instrText xml:space="preserve"> HYPERLINK "http://www.gzzlyy.com/uploads/soft/210705/1-210F5114455.doc" </w:instrText>
            </w:r>
            <w:r>
              <w:rPr>
                <w:rFonts w:hint="eastAsia" w:ascii="仿宋" w:hAnsi="仿宋" w:eastAsia="仿宋" w:cs="仿宋"/>
                <w:color w:val="auto"/>
                <w:sz w:val="28"/>
                <w:szCs w:val="28"/>
                <w:highlight w:val="none"/>
                <w:u w:val="none"/>
              </w:rPr>
              <w:fldChar w:fldCharType="separate"/>
            </w:r>
            <w:r>
              <w:rPr>
                <w:rFonts w:hint="eastAsia" w:ascii="仿宋" w:hAnsi="仿宋" w:eastAsia="仿宋" w:cs="仿宋"/>
                <w:color w:val="auto"/>
                <w:sz w:val="28"/>
                <w:szCs w:val="28"/>
                <w:highlight w:val="none"/>
                <w:u w:val="none"/>
              </w:rPr>
              <mc:AlternateContent>
                <mc:Choice Requires="wps">
                  <w:drawing>
                    <wp:inline distT="0" distB="0" distL="114300" distR="114300">
                      <wp:extent cx="304800" cy="304800"/>
                      <wp:effectExtent l="0" t="0" r="0" b="0"/>
                      <wp:docPr id="3" name="矩形 3"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VBoTY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color w:val="auto"/>
                <w:sz w:val="28"/>
                <w:szCs w:val="28"/>
                <w:highlight w:val="none"/>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lang w:val="en-US"/>
        </w:rPr>
      </w:pPr>
      <w:r>
        <w:rPr>
          <w:rFonts w:hint="eastAsia" w:ascii="仿宋" w:hAnsi="仿宋" w:eastAsia="仿宋" w:cs="仿宋"/>
          <w:i w:val="0"/>
          <w:iCs w:val="0"/>
          <w:caps w:val="0"/>
          <w:color w:val="auto"/>
          <w:spacing w:val="0"/>
          <w:kern w:val="0"/>
          <w:sz w:val="28"/>
          <w:szCs w:val="28"/>
          <w:highlight w:val="none"/>
          <w:lang w:val="en-US" w:eastAsia="zh-CN" w:bidi="ar"/>
        </w:rPr>
        <w:t>附件2：竞争性谈判文件</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none"/>
              </w:rPr>
              <w:fldChar w:fldCharType="begin"/>
            </w:r>
            <w:r>
              <w:rPr>
                <w:rFonts w:hint="eastAsia" w:ascii="仿宋" w:hAnsi="仿宋" w:eastAsia="仿宋" w:cs="仿宋"/>
                <w:color w:val="auto"/>
                <w:sz w:val="28"/>
                <w:szCs w:val="28"/>
                <w:highlight w:val="none"/>
                <w:u w:val="none"/>
              </w:rPr>
              <w:instrText xml:space="preserve"> HYPERLINK "http://www.gzzlyy.com/uploads/soft/210705/1-210F5114549.docx" </w:instrText>
            </w:r>
            <w:r>
              <w:rPr>
                <w:rFonts w:hint="eastAsia" w:ascii="仿宋" w:hAnsi="仿宋" w:eastAsia="仿宋" w:cs="仿宋"/>
                <w:color w:val="auto"/>
                <w:sz w:val="28"/>
                <w:szCs w:val="28"/>
                <w:highlight w:val="none"/>
                <w:u w:val="none"/>
              </w:rPr>
              <w:fldChar w:fldCharType="separate"/>
            </w:r>
            <w:r>
              <w:rPr>
                <w:rFonts w:hint="eastAsia" w:ascii="仿宋" w:hAnsi="仿宋" w:eastAsia="仿宋" w:cs="仿宋"/>
                <w:color w:val="auto"/>
                <w:sz w:val="28"/>
                <w:szCs w:val="28"/>
                <w:highlight w:val="none"/>
                <w:u w:val="none"/>
              </w:rPr>
              <mc:AlternateContent>
                <mc:Choice Requires="wps">
                  <w:drawing>
                    <wp:inline distT="0" distB="0" distL="114300" distR="114300">
                      <wp:extent cx="304800" cy="304800"/>
                      <wp:effectExtent l="0" t="0" r="0" b="0"/>
                      <wp:docPr id="2" name="矩形 2"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7"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sDsVf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color w:val="auto"/>
                <w:sz w:val="28"/>
                <w:szCs w:val="28"/>
                <w:highlight w:val="none"/>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bidi="ar"/>
              </w:rPr>
              <w:t> </w:t>
            </w:r>
          </w:p>
        </w:tc>
      </w:tr>
    </w:tbl>
    <w:p>
      <w:pPr>
        <w:keepNext w:val="0"/>
        <w:keepLines w:val="0"/>
        <w:widowControl/>
        <w:suppressLineNumbers w:val="0"/>
        <w:spacing w:before="0" w:beforeAutospacing="0" w:after="0" w:afterAutospacing="0"/>
        <w:ind w:right="0" w:firstLine="5600" w:firstLineChars="2000"/>
        <w:jc w:val="left"/>
        <w:rPr>
          <w:rFonts w:hint="default"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赣州市肿瘤医院</w:t>
      </w:r>
    </w:p>
    <w:p>
      <w:pPr>
        <w:keepNext w:val="0"/>
        <w:keepLines w:val="0"/>
        <w:widowControl/>
        <w:suppressLineNumbers w:val="0"/>
        <w:spacing w:before="0" w:beforeAutospacing="0" w:after="0" w:afterAutospacing="0"/>
        <w:ind w:right="0" w:firstLine="5600" w:firstLineChars="2000"/>
        <w:jc w:val="left"/>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kern w:val="0"/>
          <w:sz w:val="28"/>
          <w:szCs w:val="28"/>
          <w:highlight w:val="none"/>
          <w:lang w:val="en-US" w:eastAsia="zh-CN" w:bidi="ar"/>
        </w:rPr>
        <w:t>2022年11月28日</w:t>
      </w:r>
    </w:p>
    <w:p>
      <w:pPr>
        <w:rPr>
          <w:highlight w:val="none"/>
        </w:rPr>
      </w:pPr>
    </w:p>
    <w:p>
      <w:pPr>
        <w:rPr>
          <w:color w:val="auto"/>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29044"/>
      <w:bookmarkStart w:id="6" w:name="_Toc36173308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5"/>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16582"/>
      <w:bookmarkStart w:id="9"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20158"/>
      <w:bookmarkStart w:id="11"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4"/>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numPr>
          <w:ilvl w:val="0"/>
          <w:numId w:val="0"/>
        </w:numPr>
        <w:ind w:leftChars="0"/>
        <w:rPr>
          <w:rFonts w:hint="eastAsia" w:ascii="仿宋" w:hAnsi="仿宋" w:eastAsia="仿宋" w:cs="仿宋"/>
          <w:color w:val="auto"/>
          <w:kern w:val="0"/>
          <w:sz w:val="32"/>
          <w:szCs w:val="32"/>
          <w:highlight w:val="none"/>
          <w:lang w:val="en-US" w:eastAsia="zh-CN"/>
        </w:rPr>
      </w:pPr>
    </w:p>
    <w:p>
      <w:pPr>
        <w:pStyle w:val="2"/>
        <w:numPr>
          <w:ilvl w:val="0"/>
          <w:numId w:val="2"/>
        </w:numPr>
        <w:ind w:left="0" w:leftChars="0" w:firstLine="0" w:firstLineChars="0"/>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采购需求</w:t>
      </w:r>
    </w:p>
    <w:p>
      <w:pPr>
        <w:pStyle w:val="5"/>
        <w:numPr>
          <w:numId w:val="0"/>
        </w:numPr>
        <w:jc w:val="left"/>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一</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、项目概况及预算情况</w:t>
      </w:r>
    </w:p>
    <w:p>
      <w:pPr>
        <w:pStyle w:val="5"/>
        <w:numPr>
          <w:numId w:val="0"/>
        </w:numPr>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rPr>
        <w:t>1、项目概况：电动病床及多功能转运推车</w:t>
      </w:r>
      <w:r>
        <w:rPr>
          <w:rFonts w:hint="eastAsia" w:ascii="仿宋" w:hAnsi="仿宋" w:eastAsia="仿宋" w:cs="仿宋"/>
          <w:b w:val="0"/>
          <w:bCs w:val="0"/>
          <w:sz w:val="28"/>
          <w:szCs w:val="28"/>
          <w:highlight w:val="none"/>
          <w:lang w:val="en-US" w:eastAsia="zh-CN"/>
        </w:rPr>
        <w:t>采购</w:t>
      </w:r>
    </w:p>
    <w:p>
      <w:pP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2、预算情况：</w:t>
      </w:r>
      <w:r>
        <w:rPr>
          <w:rFonts w:hint="eastAsia" w:ascii="仿宋" w:hAnsi="仿宋" w:eastAsia="仿宋" w:cs="仿宋"/>
          <w:sz w:val="28"/>
          <w:szCs w:val="28"/>
          <w:highlight w:val="none"/>
          <w:lang w:val="en-US" w:eastAsia="zh-CN"/>
        </w:rPr>
        <w:t>94000.00元</w:t>
      </w:r>
    </w:p>
    <w:p>
      <w:pPr>
        <w:pStyle w:val="5"/>
        <w:ind w:left="0" w:leftChars="0" w:firstLine="0" w:firstLineChars="0"/>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二</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采购项目具体情况</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1、采购项目名称：电动病床及多功能转运推车</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2、供货时间要求：</w:t>
      </w:r>
      <w:r>
        <w:rPr>
          <w:rFonts w:hint="eastAsia" w:ascii="仿宋" w:hAnsi="仿宋" w:eastAsia="仿宋" w:cs="仿宋"/>
          <w:sz w:val="28"/>
          <w:szCs w:val="28"/>
          <w:highlight w:val="none"/>
        </w:rPr>
        <w:t>30天</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3、供货地点：赣州市肿瘤医院指定地点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4、质保期：见采购需求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5、质量要求：见采购需求</w:t>
      </w:r>
    </w:p>
    <w:p>
      <w:pPr>
        <w:rPr>
          <w:rFonts w:hint="eastAsia" w:ascii="仿宋" w:hAnsi="仿宋" w:eastAsia="仿宋" w:cs="仿宋"/>
          <w:b/>
          <w:bCs/>
          <w:kern w:val="0"/>
          <w:sz w:val="28"/>
          <w:szCs w:val="28"/>
          <w:highlight w:val="none"/>
        </w:rPr>
      </w:pPr>
      <w:r>
        <w:rPr>
          <w:rFonts w:hint="eastAsia" w:ascii="仿宋" w:hAnsi="仿宋" w:eastAsia="仿宋" w:cs="仿宋"/>
          <w:sz w:val="28"/>
          <w:szCs w:val="28"/>
          <w:highlight w:val="none"/>
        </w:rPr>
        <w:t>6、履约保证金及退回方式：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p>
    <w:p>
      <w:pPr>
        <w:pStyle w:val="40"/>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7、付款方式：</w:t>
      </w:r>
      <w:r>
        <w:rPr>
          <w:rFonts w:hint="eastAsia" w:ascii="仿宋" w:hAnsi="仿宋" w:eastAsia="仿宋" w:cs="仿宋"/>
          <w:sz w:val="28"/>
          <w:szCs w:val="28"/>
          <w:highlight w:val="none"/>
        </w:rPr>
        <w:t>合同签订、货物送达、安装调试、培训完成且验收合格,收到符合国家法律规定的税票后30天内支付合同总额的100%。</w:t>
      </w:r>
    </w:p>
    <w:p>
      <w:pPr>
        <w:pStyle w:val="5"/>
        <w:ind w:left="0" w:leftChars="0" w:firstLine="0" w:firstLineChars="0"/>
        <w:jc w:val="both"/>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、其他商务要求：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1、交货地点：采购人指定地点。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2、交货时间：</w:t>
      </w:r>
      <w:r>
        <w:rPr>
          <w:rFonts w:hint="eastAsia" w:ascii="仿宋" w:hAnsi="仿宋" w:eastAsia="仿宋" w:cs="仿宋"/>
          <w:sz w:val="28"/>
          <w:szCs w:val="28"/>
          <w:highlight w:val="none"/>
        </w:rPr>
        <w:t>30天</w:t>
      </w:r>
      <w:r>
        <w:rPr>
          <w:rFonts w:hint="eastAsia" w:ascii="仿宋" w:hAnsi="仿宋" w:eastAsia="仿宋" w:cs="仿宋"/>
          <w:sz w:val="28"/>
          <w:szCs w:val="28"/>
          <w:highlight w:val="none"/>
        </w:rPr>
        <w:t>。</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本项目为交钥匙工程，成交供应商必须在合同签订后 </w:t>
      </w:r>
      <w:r>
        <w:rPr>
          <w:rFonts w:hint="eastAsia" w:ascii="仿宋" w:hAnsi="仿宋" w:eastAsia="仿宋" w:cs="仿宋"/>
          <w:sz w:val="28"/>
          <w:szCs w:val="28"/>
          <w:highlight w:val="none"/>
        </w:rPr>
        <w:t>30天</w:t>
      </w:r>
      <w:r>
        <w:rPr>
          <w:rFonts w:hint="eastAsia" w:ascii="仿宋" w:hAnsi="仿宋" w:eastAsia="仿宋" w:cs="仿宋"/>
          <w:sz w:val="28"/>
          <w:szCs w:val="28"/>
          <w:highlight w:val="none"/>
        </w:rPr>
        <w:t>内供货、安装、调试，交付使用，并做好相关培训工作。</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3、验收</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由采购人进行验收，设备完成安装调试达到可使用状态后试用30天内无故障并收到成交供应商书面验收申请后按成交供应商响应文件逐条进行正式验收。如有必要，可请第三方验收。</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试运行：如在试用期间设备发生故障，以故障解决之日起重新计算试用时间，如验收前发生3次及以上设备故障，成交供应商需更换全新设备，更换设备后重新计算试用时间，更换后的设备在试用期仍出现3次及以上设备故障，采购人有权解除合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4、售后服务</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4.1、相关售后服务响应承诺及资料</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（1）安装和调试：成交供应商负责派厂家技术人员到现场进行免费安装调试，直至验收合格；成交供应商应在设备运抵现场一周前，向采购人提供设备安装调试及运行的进度计划表。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（2）技术培训：成交供应商应负责对采购人人员进行现场培训，直至采购人人员能完全操作和维护设备。</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（3）免费质量保证（修）期：所投货物必须提供</w:t>
      </w:r>
      <w:r>
        <w:rPr>
          <w:rFonts w:hint="eastAsia" w:ascii="仿宋" w:hAnsi="仿宋" w:eastAsia="仿宋" w:cs="仿宋"/>
          <w:sz w:val="28"/>
          <w:szCs w:val="28"/>
          <w:highlight w:val="none"/>
        </w:rPr>
        <w:t>叁</w:t>
      </w:r>
      <w:r>
        <w:rPr>
          <w:rFonts w:hint="eastAsia" w:ascii="仿宋" w:hAnsi="仿宋" w:eastAsia="仿宋" w:cs="仿宋"/>
          <w:sz w:val="28"/>
          <w:szCs w:val="28"/>
          <w:highlight w:val="none"/>
        </w:rPr>
        <w:t>年（含</w:t>
      </w:r>
      <w:r>
        <w:rPr>
          <w:rFonts w:hint="eastAsia" w:ascii="仿宋" w:hAnsi="仿宋" w:eastAsia="仿宋" w:cs="仿宋"/>
          <w:sz w:val="28"/>
          <w:szCs w:val="28"/>
          <w:highlight w:val="none"/>
        </w:rPr>
        <w:t>叁</w:t>
      </w:r>
      <w:r>
        <w:rPr>
          <w:rFonts w:hint="eastAsia" w:ascii="仿宋" w:hAnsi="仿宋" w:eastAsia="仿宋" w:cs="仿宋"/>
          <w:sz w:val="28"/>
          <w:szCs w:val="28"/>
          <w:highlight w:val="none"/>
        </w:rPr>
        <w:t>年，采购需求另有规定除外）以上的质保期，质保期经安装调试、验收合格之日起计算。（技术参数要求有规定的，以其规定为准，投标人有优于招标文件承诺的以其承诺为准）。质保期内，成交供应商负责对其提供的货物和工程进行维修和附件（包括耗材）的维护，不再收取任何费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（4）故障响应时间：如果设备发生故障，成交供应商需按照约定的时间处理故障，违约金按到场时间每迟一天，按合同总价的</w:t>
      </w:r>
      <w:r>
        <w:rPr>
          <w:rFonts w:hint="eastAsia" w:ascii="仿宋" w:hAnsi="仿宋" w:eastAsia="仿宋" w:cs="仿宋"/>
          <w:sz w:val="28"/>
          <w:szCs w:val="28"/>
          <w:highlight w:val="none"/>
        </w:rPr>
        <w:t>2‰</w:t>
      </w:r>
      <w:r>
        <w:rPr>
          <w:rFonts w:hint="eastAsia" w:ascii="仿宋" w:hAnsi="仿宋" w:eastAsia="仿宋" w:cs="仿宋"/>
          <w:sz w:val="28"/>
          <w:szCs w:val="28"/>
          <w:highlight w:val="none"/>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质保期满后，成交供应商应提供终身维修，用户只付零配件的费用，能长期提供良好的技术支持及零部件的优惠供应。提供质保期结束后延保服务收费标准、零配件名称、零配件供应价格、全国统一最低报价清单，凡未列入清单的零配件视为免费提供。</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（6）免费开放与医院信息系统对接端口，由制造商或国内授权代理商出具售后服务承诺书。</w:t>
      </w: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四</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电动病床采购需求</w:t>
      </w:r>
    </w:p>
    <w:p>
      <w:pPr>
        <w:spacing w:line="360" w:lineRule="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1、基本参数</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1.1外型尺寸≥2250×1340×500mm</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1.2起背：75°±3°</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1.3左翻身：80°±3°</w:t>
      </w:r>
    </w:p>
    <w:p>
      <w:pPr>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1.4右翻身：80°±3°</w:t>
      </w:r>
    </w:p>
    <w:p>
      <w:pPr>
        <w:spacing w:line="360" w:lineRule="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2产品功能：</w:t>
      </w:r>
    </w:p>
    <w:p>
      <w:pPr>
        <w:pStyle w:val="2"/>
        <w:spacing w:line="360" w:lineRule="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1、床框：采用壁厚≥1.5mm的优质冷拉矩形管，承载≥240KG。（提供相关证明材料）</w:t>
      </w:r>
    </w:p>
    <w:p>
      <w:pPr>
        <w:pStyle w:val="2"/>
        <w:spacing w:line="360" w:lineRule="auto"/>
        <w:rPr>
          <w:rFonts w:hint="eastAsia" w:ascii="仿宋" w:hAnsi="仿宋" w:eastAsia="仿宋" w:cs="仿宋"/>
          <w:sz w:val="28"/>
          <w:szCs w:val="28"/>
          <w:highlight w:val="none"/>
        </w:rPr>
      </w:pPr>
      <w:r>
        <w:rPr>
          <w:rFonts w:hint="eastAsia" w:ascii="仿宋" w:hAnsi="仿宋" w:eastAsia="仿宋" w:cs="仿宋"/>
          <w:b w:val="0"/>
          <w:bCs/>
          <w:sz w:val="28"/>
          <w:szCs w:val="28"/>
          <w:highlight w:val="none"/>
        </w:rPr>
        <w:t>2、床面：采用≥1.0mm的冷轧钢板。冲压成凹型，圆形气孔设计，外形美观，便于透气并具有防滑功能。（提供相关证明材料）</w:t>
      </w:r>
    </w:p>
    <w:p>
      <w:pPr>
        <w:pStyle w:val="2"/>
        <w:spacing w:line="360" w:lineRule="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3、床头、床尾板采用ABS工程塑料一次注塑成型，挂式设计,拆卸方便，无缝制成，稳定可靠，尾板外侧有病人信息卡插槽；（提供ABS检验报告证明材料）</w:t>
      </w:r>
    </w:p>
    <w:p>
      <w:pPr>
        <w:pStyle w:val="2"/>
        <w:spacing w:line="360" w:lineRule="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4、全覆式铝合金折叠护栏采用加厚铝合金材质，经久耐用，不易变形，抗腐蚀，光滑美观易清洁。</w:t>
      </w:r>
    </w:p>
    <w:p>
      <w:pPr>
        <w:pStyle w:val="2"/>
        <w:spacing w:line="360" w:lineRule="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5、配置专用医用电机，性能稳定可靠，无噪音，使用寿命长。</w:t>
      </w:r>
    </w:p>
    <w:p>
      <w:pPr>
        <w:pStyle w:val="2"/>
        <w:spacing w:line="360" w:lineRule="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6、轮子为直径≥125mm的中控脚轮，高稳定性连动系统，刹车稳定方便，防水、防尘，双轮饼设计以增加着地面积，增加稳定性。（提供相关证明材料）</w:t>
      </w:r>
    </w:p>
    <w:p>
      <w:pPr>
        <w:pStyle w:val="2"/>
        <w:spacing w:line="360" w:lineRule="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7、四角带有输液架插孔以及引流挂钩。</w:t>
      </w:r>
    </w:p>
    <w:p>
      <w:pPr>
        <w:spacing w:line="360" w:lineRule="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8、床体可柔性左右翻身。</w:t>
      </w:r>
    </w:p>
    <w:p>
      <w:pPr>
        <w:widowControl/>
        <w:ind w:firstLine="0" w:firstLineChars="0"/>
        <w:jc w:val="left"/>
        <w:rPr>
          <w:rFonts w:hint="eastAsia" w:ascii="仿宋" w:hAnsi="仿宋" w:eastAsia="仿宋" w:cs="仿宋"/>
          <w:sz w:val="28"/>
          <w:szCs w:val="28"/>
          <w:highlight w:val="none"/>
        </w:rPr>
      </w:pPr>
    </w:p>
    <w:p>
      <w:pPr>
        <w:pStyle w:val="2"/>
        <w:rPr>
          <w:rFonts w:hint="eastAsia" w:ascii="仿宋" w:hAnsi="仿宋" w:eastAsia="仿宋" w:cs="仿宋"/>
          <w:sz w:val="28"/>
          <w:szCs w:val="28"/>
          <w:highlight w:val="none"/>
        </w:rPr>
      </w:pPr>
    </w:p>
    <w:p>
      <w:pPr>
        <w:widowControl/>
        <w:ind w:firstLine="0" w:firstLineChars="0"/>
        <w:jc w:val="left"/>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pStyle w:val="3"/>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五</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多功能转运推车</w:t>
      </w:r>
      <w:r>
        <w:rPr>
          <w:rFonts w:hint="eastAsia" w:ascii="仿宋" w:hAnsi="仿宋" w:eastAsia="仿宋" w:cs="仿宋"/>
          <w:b/>
          <w:bCs/>
          <w:sz w:val="28"/>
          <w:szCs w:val="28"/>
          <w:highlight w:val="none"/>
          <w:lang w:val="en-US" w:eastAsia="zh-CN"/>
        </w:rPr>
        <w:t>项目</w:t>
      </w:r>
      <w:r>
        <w:rPr>
          <w:rFonts w:hint="eastAsia" w:ascii="仿宋" w:hAnsi="仿宋" w:eastAsia="仿宋" w:cs="仿宋"/>
          <w:b/>
          <w:bCs/>
          <w:sz w:val="28"/>
          <w:szCs w:val="28"/>
          <w:highlight w:val="none"/>
        </w:rPr>
        <w:t>采购需求</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rPr>
        <w:tab/>
      </w:r>
      <w:r>
        <w:rPr>
          <w:rFonts w:hint="eastAsia" w:ascii="仿宋" w:hAnsi="仿宋" w:eastAsia="仿宋" w:cs="仿宋"/>
          <w:sz w:val="28"/>
          <w:szCs w:val="28"/>
          <w:highlight w:val="none"/>
        </w:rPr>
        <w:t>规格（允许±5%）：全长1930mm，宽663mm，高低升降510—850mm，背部升降0—70°。</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rPr>
        <w:tab/>
      </w:r>
      <w:r>
        <w:rPr>
          <w:rFonts w:hint="eastAsia" w:ascii="仿宋" w:hAnsi="仿宋" w:eastAsia="仿宋" w:cs="仿宋"/>
          <w:sz w:val="28"/>
          <w:szCs w:val="28"/>
          <w:highlight w:val="none"/>
        </w:rPr>
        <w:t>安全工作载荷≥170KG。</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rPr>
        <w:tab/>
      </w:r>
      <w:r>
        <w:rPr>
          <w:rFonts w:hint="eastAsia" w:ascii="仿宋" w:hAnsi="仿宋" w:eastAsia="仿宋" w:cs="仿宋"/>
          <w:sz w:val="28"/>
          <w:szCs w:val="28"/>
          <w:highlight w:val="none"/>
        </w:rPr>
        <w:t>背部升降系统：背部升降采用静音气弹簧控制。</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rPr>
        <w:tab/>
      </w:r>
      <w:r>
        <w:rPr>
          <w:rFonts w:hint="eastAsia" w:ascii="仿宋" w:hAnsi="仿宋" w:eastAsia="仿宋" w:cs="仿宋"/>
          <w:sz w:val="28"/>
          <w:szCs w:val="28"/>
          <w:highlight w:val="none"/>
        </w:rPr>
        <w:t>高低调节：金属材质摇杆系统，过载保护功能，不易折断。</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rPr>
        <w:tab/>
      </w:r>
      <w:r>
        <w:rPr>
          <w:rFonts w:hint="eastAsia" w:ascii="仿宋" w:hAnsi="仿宋" w:eastAsia="仿宋" w:cs="仿宋"/>
          <w:sz w:val="28"/>
          <w:szCs w:val="28"/>
          <w:highlight w:val="none"/>
        </w:rPr>
        <w:t>床板：PP树脂成型制品。</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sz w:val="28"/>
          <w:szCs w:val="28"/>
          <w:highlight w:val="none"/>
        </w:rPr>
        <w:tab/>
      </w:r>
      <w:r>
        <w:rPr>
          <w:rFonts w:hint="eastAsia" w:ascii="仿宋" w:hAnsi="仿宋" w:eastAsia="仿宋" w:cs="仿宋"/>
          <w:sz w:val="28"/>
          <w:szCs w:val="28"/>
          <w:highlight w:val="none"/>
        </w:rPr>
        <w:t>框架：采用冷轧光亮钢制/部分铝制品制成。</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7.</w:t>
      </w:r>
      <w:r>
        <w:rPr>
          <w:rFonts w:hint="eastAsia" w:ascii="仿宋" w:hAnsi="仿宋" w:eastAsia="仿宋" w:cs="仿宋"/>
          <w:sz w:val="28"/>
          <w:szCs w:val="28"/>
          <w:highlight w:val="none"/>
        </w:rPr>
        <w:tab/>
      </w:r>
      <w:r>
        <w:rPr>
          <w:rFonts w:hint="eastAsia" w:ascii="仿宋" w:hAnsi="仿宋" w:eastAsia="仿宋" w:cs="仿宋"/>
          <w:sz w:val="28"/>
          <w:szCs w:val="28"/>
          <w:highlight w:val="none"/>
        </w:rPr>
        <w:t>护栏板（允许±5%）： PP树脂成型两侧护栏板（加厚设计），高度300mm，也可以水平固定，增加床体宽度，让输液者的手臂有舒适的放置处；并具有双安全锁进行锁定，防止误操作，提高操作的安全性。</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8.</w:t>
      </w:r>
      <w:r>
        <w:rPr>
          <w:rFonts w:hint="eastAsia" w:ascii="仿宋" w:hAnsi="仿宋" w:eastAsia="仿宋" w:cs="仿宋"/>
          <w:sz w:val="28"/>
          <w:szCs w:val="28"/>
          <w:highlight w:val="none"/>
        </w:rPr>
        <w:tab/>
      </w:r>
      <w:r>
        <w:rPr>
          <w:rFonts w:hint="eastAsia" w:ascii="仿宋" w:hAnsi="仿宋" w:eastAsia="仿宋" w:cs="仿宋"/>
          <w:sz w:val="28"/>
          <w:szCs w:val="28"/>
          <w:highlight w:val="none"/>
        </w:rPr>
        <w:t>护栏板上设有角度显示，方便护理时知道背部升起的角度；两侧护栏板中间有凹槽，防止导管滑落，方便输液引流。</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9.</w:t>
      </w:r>
      <w:r>
        <w:rPr>
          <w:rFonts w:hint="eastAsia" w:ascii="仿宋" w:hAnsi="仿宋" w:eastAsia="仿宋" w:cs="仿宋"/>
          <w:sz w:val="28"/>
          <w:szCs w:val="28"/>
          <w:highlight w:val="none"/>
        </w:rPr>
        <w:tab/>
      </w:r>
      <w:r>
        <w:rPr>
          <w:rFonts w:hint="eastAsia" w:ascii="仿宋" w:hAnsi="仿宋" w:eastAsia="仿宋" w:cs="仿宋"/>
          <w:sz w:val="28"/>
          <w:szCs w:val="28"/>
          <w:highlight w:val="none"/>
        </w:rPr>
        <w:t>铝压铸一体成型护栏支架，表面氧化处理。护栏锁定牢靠（无铆接，永不松脱）。护栏锁定后，无晃动间隙，强度高，安全可靠，人性化，外观好。</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10.脚轮：中控锁双面脚轮，推行静音、安全、耐用。四个直径≥150mm的脚轮，推车四角都有脚轮控制系统，一脚制动，四轮同时固定。</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11.独立的中心第五轮系统：推车的两侧都安装有控制踏杆，中心第五轮收起时即自由行进；使用时，即“直行”状态（踏杆离地高度≥70mm，通过性好），克服运送过程中的惯性作用力，有效地控制前进方向，使运送过程更加安全。</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12.床体下有二段式托盘，托盘分为大小、深浅不同的两部分，设有漏水孔，使用方便，托盘能承重≥10Kg。</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13.输液架收藏架，固定收藏输液架。</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14.横向和立向氧气瓶架设计，推行时不会碰撞，安装方便、可靠。可放容量500公升以上（直径150mm-180mm）的氧气瓶。</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15.转运床垫：面料表面防水处理，易于清洗，四角装有拉链，外部面料可水洗；防静电3段式构造，只需一人操作即可以平行对接和转运病人。</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16.采用冷轧光亮钢材，确保其平整性及材质刚性和韧性。 </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17.喷涂工艺增加磷化处理，喷涂涂附着力更强，保证钢材（尤其是管子内部）不生锈。 </w:t>
      </w:r>
    </w:p>
    <w:p>
      <w:pPr>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18.304（或316）不锈钢引流挂架，挂钩大，强度更高，更方便操作。</w:t>
      </w:r>
    </w:p>
    <w:p>
      <w:pPr>
        <w:widowControl/>
        <w:spacing w:line="360" w:lineRule="auto"/>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19.尾部配有可放监护仪、呼吸机设备的专业固定结构支架盒，方便医护人员在运送病人过程中保证设备的安全性和合理置放。</w:t>
      </w:r>
    </w:p>
    <w:p>
      <w:pPr>
        <w:pStyle w:val="2"/>
        <w:rPr>
          <w:rFonts w:hint="eastAsia" w:ascii="仿宋" w:hAnsi="仿宋" w:eastAsia="仿宋" w:cs="仿宋"/>
          <w:sz w:val="28"/>
          <w:szCs w:val="28"/>
          <w:highlight w:val="none"/>
        </w:rPr>
      </w:pPr>
    </w:p>
    <w:p>
      <w:pPr>
        <w:pStyle w:val="3"/>
        <w:rPr>
          <w:rFonts w:hint="eastAsia" w:ascii="仿宋" w:hAnsi="仿宋" w:eastAsia="仿宋" w:cs="仿宋"/>
          <w:sz w:val="28"/>
          <w:szCs w:val="28"/>
          <w:highlight w:val="none"/>
        </w:rPr>
      </w:pPr>
    </w:p>
    <w:p>
      <w:pPr>
        <w:pStyle w:val="3"/>
        <w:rPr>
          <w:rFonts w:hint="eastAsia" w:ascii="仿宋" w:hAnsi="仿宋" w:eastAsia="仿宋" w:cs="仿宋"/>
          <w:sz w:val="28"/>
          <w:szCs w:val="28"/>
          <w:highlight w:val="none"/>
        </w:rPr>
      </w:pPr>
    </w:p>
    <w:p>
      <w:pPr>
        <w:pStyle w:val="3"/>
        <w:rPr>
          <w:rFonts w:hint="eastAsia" w:ascii="仿宋" w:hAnsi="仿宋" w:eastAsia="仿宋" w:cs="仿宋"/>
          <w:sz w:val="28"/>
          <w:szCs w:val="28"/>
          <w:highlight w:val="none"/>
        </w:rPr>
      </w:pPr>
    </w:p>
    <w:p>
      <w:pPr>
        <w:widowControl/>
        <w:ind w:firstLine="0" w:firstLineChars="0"/>
        <w:jc w:val="left"/>
        <w:rPr>
          <w:rFonts w:hint="eastAsia" w:ascii="仿宋" w:hAnsi="仿宋" w:eastAsia="仿宋" w:cs="仿宋"/>
          <w:sz w:val="28"/>
          <w:szCs w:val="28"/>
          <w:highlight w:val="none"/>
        </w:rPr>
      </w:pPr>
    </w:p>
    <w:p>
      <w:pPr>
        <w:pStyle w:val="3"/>
        <w:numPr>
          <w:ilvl w:val="0"/>
          <w:numId w:val="0"/>
        </w:numPr>
        <w:ind w:leftChars="0"/>
        <w:rPr>
          <w:rFonts w:hint="eastAsia"/>
          <w:highlight w:val="none"/>
          <w:lang w:val="en-US" w:eastAsia="zh-CN"/>
        </w:rPr>
      </w:pPr>
    </w:p>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pStyle w:val="9"/>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center"/>
        <w:rPr>
          <w:rFonts w:hint="eastAsia" w:ascii="仿宋" w:hAnsi="仿宋" w:eastAsia="仿宋" w:cs="仿宋"/>
          <w:color w:val="auto"/>
          <w:highlight w:val="none"/>
        </w:rPr>
      </w:pPr>
      <w:bookmarkStart w:id="21" w:name="_Toc919"/>
      <w:bookmarkStart w:id="22" w:name="_Toc5315"/>
    </w:p>
    <w:p>
      <w:pPr>
        <w:pStyle w:val="5"/>
        <w:spacing w:before="0" w:after="0" w:line="460" w:lineRule="exact"/>
        <w:ind w:left="0" w:leftChars="0" w:firstLine="0" w:firstLineChars="0"/>
        <w:jc w:val="center"/>
        <w:rPr>
          <w:rFonts w:hint="eastAsia" w:ascii="仿宋" w:hAnsi="仿宋" w:eastAsia="仿宋" w:cs="仿宋"/>
          <w:color w:val="auto"/>
          <w:highlight w:val="none"/>
        </w:rPr>
      </w:pPr>
    </w:p>
    <w:p>
      <w:pPr>
        <w:pStyle w:val="5"/>
        <w:spacing w:before="0" w:after="0" w:line="460" w:lineRule="exact"/>
        <w:ind w:left="0" w:leftChars="0" w:firstLine="0" w:firstLineChars="0"/>
        <w:jc w:val="both"/>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1"/>
      <w:bookmarkEnd w:id="22"/>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3" w:name="_Toc22759"/>
      <w:bookmarkStart w:id="24" w:name="_Toc19814"/>
      <w:bookmarkStart w:id="25" w:name="_Toc331493648"/>
      <w:bookmarkStart w:id="26" w:name="_Toc413396840"/>
    </w:p>
    <w:p>
      <w:pPr>
        <w:rPr>
          <w:rFonts w:hint="eastAsia" w:ascii="仿宋" w:hAnsi="仿宋" w:eastAsia="仿宋" w:cs="仿宋"/>
          <w:color w:val="auto"/>
          <w:highlight w:val="none"/>
        </w:rPr>
      </w:pPr>
    </w:p>
    <w:bookmarkEnd w:id="23"/>
    <w:bookmarkEnd w:id="24"/>
    <w:bookmarkEnd w:id="25"/>
    <w:bookmarkEnd w:id="26"/>
    <w:p>
      <w:pPr>
        <w:pStyle w:val="5"/>
        <w:ind w:left="0" w:leftChars="0" w:firstLine="0" w:firstLineChars="0"/>
        <w:jc w:val="center"/>
        <w:rPr>
          <w:rFonts w:hint="eastAsia" w:ascii="仿宋" w:hAnsi="仿宋" w:eastAsia="仿宋" w:cs="仿宋"/>
          <w:color w:val="auto"/>
          <w:kern w:val="0"/>
          <w:highlight w:val="none"/>
        </w:rPr>
      </w:pPr>
      <w:bookmarkStart w:id="27" w:name="_Toc480191543"/>
      <w:bookmarkStart w:id="28" w:name="_Toc485736232"/>
      <w:bookmarkStart w:id="29" w:name="_Toc413396845"/>
      <w:bookmarkStart w:id="30" w:name="_Toc6176"/>
      <w:bookmarkStart w:id="31" w:name="_Toc1161"/>
      <w:bookmarkStart w:id="32" w:name="_Toc331493653"/>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2"/>
        <w:rPr>
          <w:rFonts w:hint="eastAsia" w:ascii="仿宋" w:hAnsi="仿宋" w:eastAsia="仿宋" w:cs="仿宋"/>
          <w:color w:val="auto"/>
          <w:highlight w:val="none"/>
        </w:rPr>
      </w:pPr>
    </w:p>
    <w:tbl>
      <w:tblPr>
        <w:tblStyle w:val="17"/>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highlight w:val="none"/>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bookmarkEnd w:id="29"/>
    <w:bookmarkEnd w:id="30"/>
    <w:bookmarkEnd w:id="31"/>
    <w:bookmarkEnd w:id="32"/>
    <w:p>
      <w:pPr>
        <w:pStyle w:val="5"/>
        <w:spacing w:before="0" w:after="0" w:line="460" w:lineRule="exact"/>
        <w:ind w:firstLine="0"/>
        <w:jc w:val="both"/>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3" w:name="_Toc23201"/>
      <w:bookmarkStart w:id="34" w:name="_Toc7073"/>
      <w:bookmarkStart w:id="35" w:name="_Toc413396854"/>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bookmarkEnd w:id="33"/>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6"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6"/>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37" w:name="_Toc3874"/>
      <w:bookmarkStart w:id="38" w:name="_Toc423337568"/>
      <w:bookmarkStart w:id="39" w:name="_Toc469749011"/>
      <w:r>
        <w:rPr>
          <w:rFonts w:ascii="Arial" w:hAnsi="Arial" w:eastAsia="黑体"/>
          <w:b/>
          <w:bCs/>
          <w:sz w:val="32"/>
          <w:szCs w:val="32"/>
          <w:highlight w:val="none"/>
        </w:rPr>
        <w:t>5.</w:t>
      </w:r>
      <w:r>
        <w:rPr>
          <w:rFonts w:hint="eastAsia" w:ascii="Arial" w:hAnsi="Arial" w:eastAsia="黑体"/>
          <w:b/>
          <w:bCs/>
          <w:sz w:val="32"/>
          <w:szCs w:val="32"/>
          <w:highlight w:val="none"/>
        </w:rPr>
        <w:t>技术文件</w:t>
      </w:r>
      <w:bookmarkEnd w:id="37"/>
      <w:bookmarkEnd w:id="38"/>
      <w:bookmarkEnd w:id="39"/>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内容包括：</w:t>
      </w:r>
    </w:p>
    <w:p>
      <w:pPr>
        <w:spacing w:line="500" w:lineRule="exact"/>
        <w:ind w:firstLine="500" w:firstLineChars="200"/>
        <w:rPr>
          <w:rFonts w:ascii="宋体" w:hAnsi="宋体"/>
          <w:color w:val="auto"/>
          <w:sz w:val="25"/>
          <w:szCs w:val="25"/>
          <w:highlight w:val="none"/>
        </w:rPr>
      </w:pPr>
      <w:r>
        <w:rPr>
          <w:rFonts w:hint="eastAsia" w:ascii="宋体" w:hAnsi="宋体"/>
          <w:sz w:val="25"/>
          <w:szCs w:val="25"/>
          <w:highlight w:val="none"/>
        </w:rPr>
        <w:t>1、货物的技术</w:t>
      </w:r>
      <w:r>
        <w:rPr>
          <w:rFonts w:hint="eastAsia" w:ascii="宋体" w:hAnsi="宋体"/>
          <w:color w:val="auto"/>
          <w:sz w:val="25"/>
          <w:szCs w:val="25"/>
          <w:highlight w:val="none"/>
        </w:rPr>
        <w:t>规格与功能的详细说明</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2、主要外购件、配套件的型号规格和制造商明细表</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3、标准附件、备品备件和专用工具等</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4、常用的、容易损坏的备品备件及易损件的价格清单等</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5、</w:t>
      </w:r>
      <w:r>
        <w:rPr>
          <w:rFonts w:hint="eastAsia" w:ascii="宋体" w:hAnsi="宋体"/>
          <w:color w:val="auto"/>
          <w:sz w:val="25"/>
          <w:szCs w:val="25"/>
          <w:highlight w:val="none"/>
        </w:rPr>
        <w:t>响应供应商认为需要说明的其他内容（响应供应商视需要自行编写）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40" w:name="_Toc469749013"/>
      <w:bookmarkStart w:id="41" w:name="_Toc23487"/>
      <w:bookmarkStart w:id="42" w:name="_Toc423337570"/>
      <w:r>
        <w:rPr>
          <w:rFonts w:ascii="Arial" w:hAnsi="Arial" w:eastAsia="黑体"/>
          <w:b/>
          <w:bCs/>
          <w:sz w:val="32"/>
          <w:szCs w:val="32"/>
          <w:highlight w:val="none"/>
        </w:rPr>
        <w:t>6</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40"/>
      <w:bookmarkEnd w:id="41"/>
      <w:bookmarkEnd w:id="42"/>
    </w:p>
    <w:p>
      <w:pPr>
        <w:spacing w:line="500" w:lineRule="exact"/>
        <w:ind w:firstLine="1250" w:firstLineChars="500"/>
        <w:rPr>
          <w:rFonts w:hint="eastAsia" w:ascii="宋体" w:hAnsi="宋体"/>
          <w:sz w:val="25"/>
          <w:szCs w:val="25"/>
          <w:highlight w:val="none"/>
        </w:rPr>
      </w:pPr>
      <w:bookmarkStart w:id="43" w:name="_Toc423337571"/>
      <w:bookmarkStart w:id="44" w:name="_Toc417890583"/>
      <w:bookmarkStart w:id="45"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2"/>
        <w:rPr>
          <w:rFonts w:hint="eastAsia"/>
          <w:highlight w:val="none"/>
        </w:rPr>
      </w:pPr>
    </w:p>
    <w:bookmarkEnd w:id="43"/>
    <w:bookmarkEnd w:id="44"/>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6" w:name="_Toc423357540"/>
      <w:bookmarkStart w:id="47" w:name="_Toc24750"/>
      <w:bookmarkStart w:id="48" w:name="_Toc469749014"/>
      <w:r>
        <w:rPr>
          <w:rFonts w:hint="eastAsia" w:ascii="Arial" w:hAnsi="Arial" w:eastAsia="黑体"/>
          <w:b/>
          <w:bCs/>
          <w:sz w:val="32"/>
          <w:szCs w:val="32"/>
          <w:highlight w:val="none"/>
        </w:rPr>
        <w:t>7</w:t>
      </w:r>
      <w:bookmarkEnd w:id="46"/>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7"/>
      <w:bookmarkEnd w:id="48"/>
      <w:r>
        <w:rPr>
          <w:rFonts w:ascii="Arial" w:hAnsi="Arial" w:eastAsia="黑体"/>
          <w:b/>
          <w:bCs/>
          <w:sz w:val="32"/>
          <w:szCs w:val="32"/>
          <w:highlight w:val="none"/>
        </w:rPr>
        <w:t xml:space="preserve"> </w:t>
      </w:r>
    </w:p>
    <w:bookmarkEnd w:id="45"/>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highlight w:val="none"/>
          <w:lang w:eastAsia="zh-CN"/>
        </w:rPr>
      </w:pPr>
      <w:bookmarkStart w:id="49" w:name="_Toc25526"/>
    </w:p>
    <w:p>
      <w:pPr>
        <w:pStyle w:val="5"/>
        <w:rPr>
          <w:rFonts w:hint="eastAsia"/>
          <w:highlight w:val="none"/>
        </w:rPr>
      </w:pPr>
      <w:bookmarkStart w:id="50" w:name="_Toc31359"/>
      <w:r>
        <w:rPr>
          <w:rFonts w:hint="eastAsia"/>
          <w:highlight w:val="none"/>
          <w:lang w:eastAsia="zh-CN"/>
        </w:rPr>
        <w:t>8.</w:t>
      </w:r>
      <w:r>
        <w:rPr>
          <w:rFonts w:hint="eastAsia"/>
          <w:highlight w:val="none"/>
        </w:rPr>
        <w:t>依法缴纳税收证明</w:t>
      </w:r>
      <w:bookmarkEnd w:id="49"/>
      <w:bookmarkEnd w:id="50"/>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2"/>
        <w:rPr>
          <w:rFonts w:hint="eastAsia" w:ascii="宋体" w:hAnsi="宋体"/>
          <w:sz w:val="25"/>
          <w:szCs w:val="25"/>
          <w:highlight w:val="none"/>
        </w:rPr>
      </w:pPr>
    </w:p>
    <w:p>
      <w:pPr>
        <w:pStyle w:val="5"/>
        <w:rPr>
          <w:rFonts w:hint="eastAsia"/>
          <w:highlight w:val="none"/>
          <w:lang w:eastAsia="zh-CN"/>
        </w:rPr>
      </w:pPr>
      <w:bookmarkStart w:id="51" w:name="_Toc4678"/>
    </w:p>
    <w:p>
      <w:pPr>
        <w:pStyle w:val="5"/>
        <w:rPr>
          <w:rFonts w:hint="eastAsia"/>
          <w:highlight w:val="none"/>
        </w:rPr>
      </w:pPr>
      <w:bookmarkStart w:id="52" w:name="_Toc14430"/>
      <w:r>
        <w:rPr>
          <w:rFonts w:hint="eastAsia"/>
          <w:highlight w:val="none"/>
          <w:lang w:eastAsia="zh-CN"/>
        </w:rPr>
        <w:t>9.</w:t>
      </w:r>
      <w:r>
        <w:rPr>
          <w:rFonts w:hint="eastAsia"/>
          <w:highlight w:val="none"/>
        </w:rPr>
        <w:t>依法缴纳社会保障资金的相关材料</w:t>
      </w:r>
      <w:bookmarkEnd w:id="51"/>
      <w:bookmarkEnd w:id="52"/>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5"/>
        <w:rPr>
          <w:rFonts w:hint="eastAsia"/>
          <w:color w:val="auto"/>
          <w:highlight w:val="none"/>
        </w:rPr>
      </w:pPr>
      <w:bookmarkStart w:id="53" w:name="_Toc26349"/>
      <w:bookmarkStart w:id="54" w:name="_Toc3387"/>
      <w:r>
        <w:rPr>
          <w:b w:val="0"/>
          <w:bCs w:val="0"/>
          <w:color w:val="auto"/>
          <w:highlight w:val="none"/>
        </w:rPr>
        <w:t>10</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53"/>
      <w:bookmarkEnd w:id="54"/>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5" w:name="_Toc225"/>
      <w:bookmarkStart w:id="56" w:name="_Toc4577"/>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5"/>
      <w:bookmarkEnd w:id="56"/>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57" w:name="_Toc469749018"/>
      <w:bookmarkStart w:id="58" w:name="_Toc11819"/>
      <w:bookmarkStart w:id="59" w:name="_Toc423337575"/>
      <w:r>
        <w:rPr>
          <w:rFonts w:ascii="Arial" w:hAnsi="Arial" w:eastAsia="黑体"/>
          <w:b/>
          <w:bCs/>
          <w:color w:val="auto"/>
          <w:sz w:val="32"/>
          <w:szCs w:val="32"/>
          <w:highlight w:val="none"/>
        </w:rPr>
        <w:t>11</w:t>
      </w:r>
      <w:r>
        <w:rPr>
          <w:rFonts w:hint="eastAsia" w:ascii="Arial" w:hAnsi="Arial" w:eastAsia="黑体"/>
          <w:b/>
          <w:bCs/>
          <w:color w:val="auto"/>
          <w:sz w:val="32"/>
          <w:szCs w:val="32"/>
          <w:highlight w:val="none"/>
        </w:rPr>
        <w:t>.法定代表人（经营者、单位负责人）授权书（格式）</w:t>
      </w:r>
      <w:bookmarkEnd w:id="57"/>
      <w:bookmarkEnd w:id="58"/>
      <w:bookmarkEnd w:id="59"/>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7"/>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60" w:name="_Toc423337576"/>
    </w:p>
    <w:p>
      <w:pPr>
        <w:pStyle w:val="5"/>
        <w:ind w:left="0" w:leftChars="0" w:firstLine="0" w:firstLineChars="0"/>
        <w:jc w:val="both"/>
        <w:rPr>
          <w:highlight w:val="none"/>
        </w:rPr>
      </w:pPr>
      <w:r>
        <w:rPr>
          <w:rFonts w:ascii="宋体" w:hAnsi="宋体"/>
          <w:sz w:val="25"/>
          <w:szCs w:val="25"/>
          <w:highlight w:val="none"/>
        </w:rPr>
        <w:br w:type="page"/>
      </w:r>
      <w:bookmarkStart w:id="61" w:name="_Toc469749019"/>
      <w:bookmarkStart w:id="62" w:name="_Toc32460"/>
      <w:r>
        <w:rPr>
          <w:rFonts w:ascii="Arial" w:hAnsi="Arial" w:eastAsia="黑体"/>
          <w:b w:val="0"/>
          <w:bCs w:val="0"/>
          <w:sz w:val="32"/>
          <w:szCs w:val="32"/>
          <w:highlight w:val="none"/>
        </w:rPr>
        <w:t>1</w:t>
      </w:r>
      <w:r>
        <w:rPr>
          <w:rFonts w:hint="eastAsia" w:ascii="Arial" w:hAnsi="Arial" w:eastAsia="黑体"/>
          <w:b w:val="0"/>
          <w:bCs w:val="0"/>
          <w:sz w:val="32"/>
          <w:szCs w:val="32"/>
          <w:highlight w:val="none"/>
          <w:lang w:val="en-US" w:eastAsia="zh-CN"/>
        </w:rPr>
        <w:t>2</w:t>
      </w:r>
      <w:r>
        <w:rPr>
          <w:rFonts w:hint="eastAsia" w:ascii="Arial" w:hAnsi="Arial" w:eastAsia="黑体"/>
          <w:b w:val="0"/>
          <w:bCs w:val="0"/>
          <w:sz w:val="32"/>
          <w:szCs w:val="32"/>
          <w:highlight w:val="none"/>
        </w:rPr>
        <w:t>.</w:t>
      </w:r>
      <w:bookmarkEnd w:id="60"/>
      <w:bookmarkEnd w:id="61"/>
      <w:r>
        <w:rPr>
          <w:rFonts w:hint="eastAsia"/>
          <w:highlight w:val="none"/>
          <w:lang w:eastAsia="zh-CN"/>
        </w:rPr>
        <w:t>基本资格条件承诺函</w:t>
      </w:r>
      <w:r>
        <w:rPr>
          <w:rFonts w:hint="eastAsia"/>
          <w:highlight w:val="none"/>
        </w:rPr>
        <w:t>（格式）</w:t>
      </w:r>
      <w:bookmarkEnd w:id="62"/>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CA0D4"/>
    <w:multiLevelType w:val="singleLevel"/>
    <w:tmpl w:val="95ECA0D4"/>
    <w:lvl w:ilvl="0" w:tentative="0">
      <w:start w:val="1"/>
      <w:numFmt w:val="chineseCounting"/>
      <w:suff w:val="nothing"/>
      <w:lvlText w:val="%1、"/>
      <w:lvlJc w:val="left"/>
      <w:rPr>
        <w:rFonts w:hint="eastAsia"/>
      </w:rPr>
    </w:lvl>
  </w:abstractNum>
  <w:abstractNum w:abstractNumId="1">
    <w:nsid w:val="A0E661A8"/>
    <w:multiLevelType w:val="singleLevel"/>
    <w:tmpl w:val="A0E661A8"/>
    <w:lvl w:ilvl="0" w:tentative="0">
      <w:start w:val="2"/>
      <w:numFmt w:val="chineseCounting"/>
      <w:suff w:val="nothing"/>
      <w:lvlText w:val="%1、"/>
      <w:lvlJc w:val="left"/>
      <w:rPr>
        <w:rFonts w:hint="eastAsia"/>
      </w:rPr>
    </w:lvl>
  </w:abstractNum>
  <w:abstractNum w:abstractNumId="2">
    <w:nsid w:val="D05AFFC4"/>
    <w:multiLevelType w:val="singleLevel"/>
    <w:tmpl w:val="D05AFFC4"/>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ZjhkNjlkY2NhM2UxMTg3MjFkMjZmZWZmNTM0MzY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semiHidden/>
    <w:unhideWhenUsed/>
    <w:qFormat/>
    <w:uiPriority w:val="0"/>
    <w:pPr>
      <w:jc w:val="left"/>
      <w:outlineLvl w:val="2"/>
    </w:pPr>
    <w:rPr>
      <w:rFonts w:hint="eastAsia" w:ascii="宋体" w:hAnsi="宋体"/>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Arial" w:hAnsi="Arial" w:eastAsia="楷体_GB2312"/>
      <w:b/>
      <w:lang w:eastAsia="en-US"/>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paragraph" w:styleId="16">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0"/>
    <w:rPr>
      <w:b/>
      <w:sz w:val="24"/>
      <w:szCs w:val="24"/>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dr w:val="single" w:color="D6D6D6" w:sz="6" w:space="0"/>
      <w:shd w:val="clear" w:color="auto" w:fill="F9F9F9"/>
    </w:rPr>
  </w:style>
  <w:style w:type="character" w:styleId="24">
    <w:name w:val="HTML Definition"/>
    <w:basedOn w:val="19"/>
    <w:qFormat/>
    <w:uiPriority w:val="0"/>
    <w:rPr>
      <w:color w:val="FFFFFF"/>
      <w:shd w:val="clear" w:color="auto" w:fill="048FD2"/>
    </w:rPr>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ascii="monospace" w:hAnsi="monospace" w:eastAsia="monospace" w:cs="monospace"/>
    </w:rPr>
  </w:style>
  <w:style w:type="character" w:customStyle="1" w:styleId="33">
    <w:name w:val="font31"/>
    <w:basedOn w:val="19"/>
    <w:qFormat/>
    <w:uiPriority w:val="0"/>
    <w:rPr>
      <w:rFonts w:hint="eastAsia" w:ascii="宋体" w:hAnsi="宋体" w:eastAsia="宋体" w:cs="宋体"/>
      <w:color w:val="000000"/>
      <w:sz w:val="20"/>
      <w:szCs w:val="20"/>
      <w:u w:val="none"/>
    </w:rPr>
  </w:style>
  <w:style w:type="character" w:customStyle="1" w:styleId="34">
    <w:name w:val="font01"/>
    <w:basedOn w:val="19"/>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9"/>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9"/>
    <w:qFormat/>
    <w:uiPriority w:val="0"/>
    <w:rPr>
      <w:rFonts w:hint="eastAsia" w:ascii="宋体" w:hAnsi="宋体" w:eastAsia="宋体" w:cs="宋体"/>
      <w:color w:val="000000"/>
      <w:sz w:val="20"/>
      <w:szCs w:val="20"/>
      <w:u w:val="none"/>
      <w:vertAlign w:val="superscript"/>
    </w:rPr>
  </w:style>
  <w:style w:type="character" w:customStyle="1" w:styleId="39">
    <w:name w:val="font111"/>
    <w:basedOn w:val="19"/>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 w:type="table" w:customStyle="1" w:styleId="42">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33</Pages>
  <Words>10456</Words>
  <Characters>10949</Characters>
  <Lines>111</Lines>
  <Paragraphs>31</Paragraphs>
  <TotalTime>16</TotalTime>
  <ScaleCrop>false</ScaleCrop>
  <LinksUpToDate>false</LinksUpToDate>
  <CharactersWithSpaces>12017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Administrator</cp:lastModifiedBy>
  <cp:lastPrinted>2021-06-22T07:03:00Z</cp:lastPrinted>
  <dcterms:modified xsi:type="dcterms:W3CDTF">2022-11-28T08:14:43Z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9757BC6343A446379646FE5D8119DCC1</vt:lpwstr>
  </property>
</Properties>
</file>