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手术床、无影灯等设备</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八</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spacing w:line="240" w:lineRule="auto"/>
        <w:ind w:firstLine="2869" w:firstLineChars="893"/>
        <w:jc w:val="both"/>
        <w:rPr>
          <w:rFonts w:hint="eastAsia" w:ascii="仿宋" w:hAnsi="仿宋" w:eastAsia="仿宋" w:cs="仿宋"/>
          <w:color w:val="auto"/>
          <w:kern w:val="0"/>
          <w:sz w:val="28"/>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赣州市肿瘤医院就手术床、无影灯等设备进行竞争性谈判，现欢迎符合资格条件的供应商前来参加。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sz w:val="28"/>
          <w:szCs w:val="28"/>
          <w:lang w:val="en-US" w:eastAsia="zh-CN"/>
        </w:rPr>
      </w:pPr>
      <w:r>
        <w:rPr>
          <w:rStyle w:val="20"/>
          <w:rFonts w:hint="eastAsia" w:ascii="仿宋" w:hAnsi="仿宋" w:eastAsia="仿宋" w:cs="仿宋"/>
          <w:b/>
          <w:bCs/>
          <w:i w:val="0"/>
          <w:iCs w:val="0"/>
          <w:caps w:val="0"/>
          <w:color w:val="555555"/>
          <w:spacing w:val="0"/>
          <w:sz w:val="28"/>
          <w:szCs w:val="28"/>
          <w:lang w:val="en-US" w:eastAsia="zh-CN"/>
        </w:rPr>
        <w:t>一、</w:t>
      </w:r>
      <w:r>
        <w:rPr>
          <w:rStyle w:val="20"/>
          <w:rFonts w:hint="eastAsia" w:ascii="仿宋" w:hAnsi="仿宋" w:eastAsia="仿宋" w:cs="仿宋"/>
          <w:b/>
          <w:bCs/>
          <w:i w:val="0"/>
          <w:iCs w:val="0"/>
          <w:caps w:val="0"/>
          <w:color w:val="555555"/>
          <w:spacing w:val="0"/>
          <w:sz w:val="28"/>
          <w:szCs w:val="28"/>
        </w:rPr>
        <w:t>项目编号：</w:t>
      </w:r>
      <w:r>
        <w:rPr>
          <w:rFonts w:hint="eastAsia" w:ascii="仿宋" w:hAnsi="仿宋" w:eastAsia="仿宋" w:cs="仿宋"/>
          <w:i w:val="0"/>
          <w:iCs w:val="0"/>
          <w:caps w:val="0"/>
          <w:color w:val="555555"/>
          <w:spacing w:val="0"/>
          <w:sz w:val="28"/>
          <w:szCs w:val="28"/>
          <w:lang w:val="en-US" w:eastAsia="zh-CN"/>
        </w:rPr>
        <w:t>SB2022-0713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20"/>
          <w:rFonts w:hint="eastAsia" w:ascii="仿宋" w:hAnsi="仿宋" w:eastAsia="仿宋" w:cs="仿宋"/>
          <w:b/>
          <w:bCs/>
          <w:i w:val="0"/>
          <w:iCs w:val="0"/>
          <w:caps w:val="0"/>
          <w:color w:val="555555"/>
          <w:spacing w:val="0"/>
          <w:kern w:val="0"/>
          <w:sz w:val="28"/>
          <w:szCs w:val="28"/>
          <w:lang w:val="en-US" w:eastAsia="zh-CN" w:bidi="ar"/>
        </w:rPr>
      </w:pPr>
      <w:r>
        <w:rPr>
          <w:rStyle w:val="20"/>
          <w:rFonts w:hint="eastAsia" w:ascii="仿宋" w:hAnsi="仿宋" w:eastAsia="仿宋" w:cs="仿宋"/>
          <w:b/>
          <w:bCs/>
          <w:i w:val="0"/>
          <w:iCs w:val="0"/>
          <w:caps w:val="0"/>
          <w:color w:val="555555"/>
          <w:spacing w:val="0"/>
          <w:kern w:val="0"/>
          <w:sz w:val="28"/>
          <w:szCs w:val="28"/>
          <w:lang w:val="en-US" w:eastAsia="zh-CN" w:bidi="ar"/>
        </w:rPr>
        <w:t>采购方式：</w:t>
      </w:r>
      <w:r>
        <w:rPr>
          <w:rFonts w:hint="eastAsia" w:ascii="仿宋" w:hAnsi="仿宋" w:eastAsia="仿宋" w:cs="仿宋"/>
          <w:i w:val="0"/>
          <w:iCs w:val="0"/>
          <w:caps w:val="0"/>
          <w:color w:val="555555"/>
          <w:spacing w:val="0"/>
          <w:kern w:val="0"/>
          <w:sz w:val="28"/>
          <w:szCs w:val="28"/>
          <w:lang w:val="en-US" w:eastAsia="zh-CN" w:bidi="ar"/>
        </w:rPr>
        <w:t>竞争性谈判</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三、采购内容：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553"/>
        <w:gridCol w:w="15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序号</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货物名称</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数量</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预算金额（元）</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highlight w:val="none"/>
                <w:vertAlign w:val="baseline"/>
                <w:lang w:val="en-US" w:eastAsia="zh-CN" w:bidi="ar"/>
              </w:rPr>
            </w:pPr>
            <w:bookmarkStart w:id="4" w:name="_Hlk109900959"/>
            <w:r>
              <w:rPr>
                <w:rFonts w:hint="eastAsia" w:ascii="仿宋" w:hAnsi="仿宋" w:eastAsia="仿宋" w:cs="仿宋"/>
                <w:sz w:val="28"/>
                <w:szCs w:val="28"/>
                <w:highlight w:val="none"/>
              </w:rPr>
              <w:t>气垫床（含泵）</w:t>
            </w:r>
            <w:bookmarkEnd w:id="4"/>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2套</w:t>
            </w:r>
          </w:p>
        </w:tc>
        <w:tc>
          <w:tcPr>
            <w:tcW w:w="1570" w:type="dxa"/>
            <w:vMerge w:val="restart"/>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69530.00</w:t>
            </w:r>
          </w:p>
        </w:tc>
        <w:tc>
          <w:tcPr>
            <w:tcW w:w="1991" w:type="dxa"/>
            <w:vMerge w:val="restart"/>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详见竞谈文件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2</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监护仪</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3台</w:t>
            </w:r>
          </w:p>
        </w:tc>
        <w:tc>
          <w:tcPr>
            <w:tcW w:w="1570"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c>
          <w:tcPr>
            <w:tcW w:w="1991"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3</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电动吸引器</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2台</w:t>
            </w:r>
          </w:p>
        </w:tc>
        <w:tc>
          <w:tcPr>
            <w:tcW w:w="1570"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c>
          <w:tcPr>
            <w:tcW w:w="1991"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4</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手术床</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1套</w:t>
            </w:r>
          </w:p>
        </w:tc>
        <w:tc>
          <w:tcPr>
            <w:tcW w:w="1570"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c>
          <w:tcPr>
            <w:tcW w:w="1991"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5</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手术无影灯</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1套</w:t>
            </w:r>
          </w:p>
        </w:tc>
        <w:tc>
          <w:tcPr>
            <w:tcW w:w="1570"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c>
          <w:tcPr>
            <w:tcW w:w="1991"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6</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空气消毒机（可移动柜机）</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1台</w:t>
            </w:r>
          </w:p>
        </w:tc>
        <w:tc>
          <w:tcPr>
            <w:tcW w:w="1570"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c>
          <w:tcPr>
            <w:tcW w:w="1991"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p>
        </w:tc>
      </w:tr>
    </w:tbl>
    <w:p>
      <w:pPr>
        <w:numPr>
          <w:ilvl w:val="0"/>
          <w:numId w:val="0"/>
        </w:numPr>
        <w:ind w:leftChars="0"/>
        <w:rPr>
          <w:rStyle w:val="20"/>
          <w:rFonts w:hint="eastAsia" w:ascii="仿宋" w:hAnsi="仿宋" w:eastAsia="仿宋" w:cs="仿宋"/>
          <w:b/>
          <w:bCs/>
          <w:i w:val="0"/>
          <w:iCs w:val="0"/>
          <w:caps w:val="0"/>
          <w:color w:val="555555"/>
          <w:spacing w:val="0"/>
          <w:kern w:val="0"/>
          <w:sz w:val="28"/>
          <w:szCs w:val="28"/>
          <w:lang w:val="en-US" w:eastAsia="zh-CN" w:bidi="ar"/>
        </w:rPr>
      </w:pPr>
      <w:r>
        <w:rPr>
          <w:rStyle w:val="20"/>
          <w:rFonts w:hint="eastAsia" w:ascii="仿宋" w:hAnsi="仿宋" w:eastAsia="仿宋" w:cs="仿宋"/>
          <w:b/>
          <w:bCs/>
          <w:i w:val="0"/>
          <w:iCs w:val="0"/>
          <w:caps w:val="0"/>
          <w:color w:val="555555"/>
          <w:spacing w:val="0"/>
          <w:kern w:val="0"/>
          <w:sz w:val="28"/>
          <w:szCs w:val="28"/>
          <w:lang w:val="en-US" w:eastAsia="zh-CN" w:bidi="ar"/>
        </w:rPr>
        <w:t>四、谈判方式：</w:t>
      </w:r>
    </w:p>
    <w:p>
      <w:pPr>
        <w:numPr>
          <w:ilvl w:val="0"/>
          <w:numId w:val="0"/>
        </w:numPr>
        <w:ind w:leftChars="0" w:firstLine="560" w:firstLineChars="200"/>
        <w:rPr>
          <w:rFonts w:hint="eastAsia" w:ascii="仿宋" w:hAnsi="仿宋" w:eastAsia="仿宋" w:cs="仿宋"/>
          <w:i w:val="0"/>
          <w:iCs w:val="0"/>
          <w:caps w:val="0"/>
          <w:color w:val="555555"/>
          <w:spacing w:val="0"/>
          <w:kern w:val="0"/>
          <w:sz w:val="28"/>
          <w:szCs w:val="28"/>
          <w:lang w:val="en-US" w:eastAsia="zh-CN" w:bidi="ar"/>
        </w:rPr>
      </w:pPr>
      <w:r>
        <w:rPr>
          <w:rFonts w:hint="eastAsia" w:ascii="仿宋" w:hAnsi="仿宋" w:eastAsia="仿宋" w:cs="仿宋"/>
          <w:i w:val="0"/>
          <w:iCs w:val="0"/>
          <w:caps w:val="0"/>
          <w:color w:val="555555"/>
          <w:spacing w:val="0"/>
          <w:kern w:val="0"/>
          <w:sz w:val="28"/>
          <w:szCs w:val="28"/>
          <w:lang w:val="en-US" w:eastAsia="zh-CN" w:bidi="ar"/>
        </w:rPr>
        <w:t>本项目为整体打包，不接受单一或部分品目报价。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numPr>
          <w:ilvl w:val="0"/>
          <w:numId w:val="0"/>
        </w:numPr>
        <w:rPr>
          <w:rStyle w:val="20"/>
          <w:rFonts w:hint="eastAsia" w:ascii="仿宋" w:hAnsi="仿宋" w:eastAsia="仿宋" w:cs="仿宋"/>
          <w:b/>
          <w:bCs/>
          <w:i w:val="0"/>
          <w:iCs w:val="0"/>
          <w:caps w:val="0"/>
          <w:color w:val="555555"/>
          <w:spacing w:val="0"/>
          <w:kern w:val="0"/>
          <w:sz w:val="28"/>
          <w:szCs w:val="28"/>
          <w:lang w:val="en-US" w:eastAsia="zh-CN" w:bidi="ar"/>
        </w:rPr>
      </w:pPr>
      <w:r>
        <w:rPr>
          <w:rStyle w:val="20"/>
          <w:rFonts w:hint="eastAsia" w:ascii="仿宋" w:hAnsi="仿宋" w:eastAsia="仿宋" w:cs="仿宋"/>
          <w:b/>
          <w:bCs/>
          <w:i w:val="0"/>
          <w:iCs w:val="0"/>
          <w:caps w:val="0"/>
          <w:color w:val="555555"/>
          <w:spacing w:val="0"/>
          <w:kern w:val="0"/>
          <w:sz w:val="28"/>
          <w:szCs w:val="28"/>
          <w:lang w:val="en-US" w:eastAsia="zh-CN" w:bidi="ar"/>
        </w:rPr>
        <w:t>五、响应供应商的资格要求：</w:t>
      </w:r>
    </w:p>
    <w:p>
      <w:pPr>
        <w:ind w:left="559" w:leftChars="266" w:firstLine="0" w:firstLineChars="0"/>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lang w:val="en-US" w:eastAsia="zh-CN"/>
        </w:rPr>
        <w:t>1、</w:t>
      </w:r>
      <w:r>
        <w:rPr>
          <w:rFonts w:hint="eastAsia" w:ascii="仿宋" w:hAnsi="仿宋" w:eastAsia="仿宋" w:cs="仿宋"/>
          <w:i w:val="0"/>
          <w:iCs w:val="0"/>
          <w:caps w:val="0"/>
          <w:color w:val="555555"/>
          <w:spacing w:val="0"/>
          <w:sz w:val="28"/>
          <w:szCs w:val="28"/>
        </w:rPr>
        <w:t>具有独立承担民事责任的能力；</w:t>
      </w:r>
      <w:r>
        <w:rPr>
          <w:rFonts w:hint="eastAsia" w:ascii="仿宋" w:hAnsi="仿宋" w:eastAsia="仿宋" w:cs="仿宋"/>
          <w:i w:val="0"/>
          <w:iCs w:val="0"/>
          <w:caps w:val="0"/>
          <w:color w:val="555555"/>
          <w:spacing w:val="0"/>
          <w:sz w:val="28"/>
          <w:szCs w:val="28"/>
        </w:rPr>
        <w:br w:type="textWrapping"/>
      </w:r>
      <w:r>
        <w:rPr>
          <w:rFonts w:hint="eastAsia" w:ascii="仿宋" w:hAnsi="仿宋" w:eastAsia="仿宋" w:cs="仿宋"/>
          <w:i w:val="0"/>
          <w:iCs w:val="0"/>
          <w:caps w:val="0"/>
          <w:color w:val="555555"/>
          <w:spacing w:val="0"/>
          <w:sz w:val="28"/>
          <w:szCs w:val="28"/>
          <w:lang w:val="en-US" w:eastAsia="zh-CN"/>
        </w:rPr>
        <w:t>2、</w:t>
      </w:r>
      <w:r>
        <w:rPr>
          <w:rFonts w:hint="eastAsia" w:ascii="仿宋" w:hAnsi="仿宋" w:eastAsia="仿宋" w:cs="仿宋"/>
          <w:i w:val="0"/>
          <w:iCs w:val="0"/>
          <w:caps w:val="0"/>
          <w:color w:val="555555"/>
          <w:spacing w:val="0"/>
          <w:sz w:val="28"/>
          <w:szCs w:val="28"/>
        </w:rPr>
        <w:t>具有履行合同所必需的设备和专业技术能力；</w:t>
      </w:r>
      <w:r>
        <w:rPr>
          <w:rFonts w:hint="eastAsia" w:ascii="仿宋" w:hAnsi="仿宋" w:eastAsia="仿宋" w:cs="仿宋"/>
          <w:i w:val="0"/>
          <w:iCs w:val="0"/>
          <w:caps w:val="0"/>
          <w:color w:val="555555"/>
          <w:spacing w:val="0"/>
          <w:sz w:val="28"/>
          <w:szCs w:val="28"/>
        </w:rPr>
        <w:br w:type="textWrapping"/>
      </w:r>
      <w:r>
        <w:rPr>
          <w:rFonts w:hint="eastAsia" w:ascii="仿宋" w:hAnsi="仿宋" w:eastAsia="仿宋" w:cs="仿宋"/>
          <w:i w:val="0"/>
          <w:iCs w:val="0"/>
          <w:caps w:val="0"/>
          <w:color w:val="555555"/>
          <w:spacing w:val="0"/>
          <w:sz w:val="28"/>
          <w:szCs w:val="28"/>
          <w:lang w:val="en-US" w:eastAsia="zh-CN"/>
        </w:rPr>
        <w:t>3、</w:t>
      </w:r>
      <w:r>
        <w:rPr>
          <w:rFonts w:hint="eastAsia" w:ascii="仿宋" w:hAnsi="仿宋" w:eastAsia="仿宋" w:cs="仿宋"/>
          <w:i w:val="0"/>
          <w:iCs w:val="0"/>
          <w:caps w:val="0"/>
          <w:color w:val="555555"/>
          <w:spacing w:val="0"/>
          <w:sz w:val="28"/>
          <w:szCs w:val="28"/>
        </w:rPr>
        <w:t>有依法缴纳税收和社会保障资金的良好记录；</w:t>
      </w:r>
      <w:r>
        <w:rPr>
          <w:rFonts w:hint="eastAsia" w:ascii="仿宋" w:hAnsi="仿宋" w:eastAsia="仿宋" w:cs="仿宋"/>
          <w:i w:val="0"/>
          <w:iCs w:val="0"/>
          <w:caps w:val="0"/>
          <w:color w:val="555555"/>
          <w:spacing w:val="0"/>
          <w:sz w:val="28"/>
          <w:szCs w:val="28"/>
        </w:rPr>
        <w:br w:type="textWrapping"/>
      </w:r>
      <w:r>
        <w:rPr>
          <w:rFonts w:hint="eastAsia" w:ascii="仿宋" w:hAnsi="仿宋" w:eastAsia="仿宋" w:cs="仿宋"/>
          <w:i w:val="0"/>
          <w:iCs w:val="0"/>
          <w:caps w:val="0"/>
          <w:color w:val="555555"/>
          <w:spacing w:val="0"/>
          <w:sz w:val="28"/>
          <w:szCs w:val="28"/>
          <w:lang w:val="en-US" w:eastAsia="zh-CN"/>
        </w:rPr>
        <w:t>4、</w:t>
      </w:r>
      <w:r>
        <w:rPr>
          <w:rFonts w:hint="eastAsia" w:ascii="仿宋" w:hAnsi="仿宋" w:eastAsia="仿宋" w:cs="仿宋"/>
          <w:i w:val="0"/>
          <w:iCs w:val="0"/>
          <w:caps w:val="0"/>
          <w:color w:val="555555"/>
          <w:spacing w:val="0"/>
          <w:sz w:val="28"/>
          <w:szCs w:val="28"/>
        </w:rPr>
        <w:t>参加采购活动前三年内，在经营活动中没有重大违法记录。</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其他资格条件：</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5.1所投一、二、三类医疗器械产品用于临床的：二、三类医疗器械产品的须具有医疗器械注册证及登记表（新证不需登记表），一类医疗器械产品的须具有产品备案登记凭证；</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5.2所投在中华人民共和国境内生产的一、二、三类医疗器械产品用于临床的：二、三类医疗器械产品须具有医疗器械生产许可证,一类医疗器械产品的须具有医疗器械生产备案凭证；</w:t>
      </w:r>
    </w:p>
    <w:p>
      <w:pPr>
        <w:ind w:firstLine="560" w:firstLineChars="200"/>
        <w:rPr>
          <w:rFonts w:hint="eastAsia" w:ascii="仿宋" w:hAnsi="仿宋" w:eastAsia="仿宋" w:cs="仿宋"/>
          <w:highlight w:val="none"/>
        </w:rPr>
      </w:pPr>
      <w:r>
        <w:rPr>
          <w:rFonts w:hint="eastAsia" w:ascii="仿宋" w:hAnsi="仿宋" w:eastAsia="仿宋" w:cs="仿宋"/>
          <w:sz w:val="28"/>
          <w:szCs w:val="28"/>
          <w:highlight w:val="none"/>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val="0"/>
          <w:bCs w:val="0"/>
          <w:i w:val="0"/>
          <w:iCs w:val="0"/>
          <w:caps w:val="0"/>
          <w:color w:val="555555"/>
          <w:spacing w:val="0"/>
          <w:kern w:val="0"/>
          <w:sz w:val="28"/>
          <w:szCs w:val="28"/>
          <w:lang w:val="en-US" w:eastAsia="zh-CN" w:bidi="ar"/>
        </w:rPr>
      </w:pPr>
      <w:r>
        <w:rPr>
          <w:rStyle w:val="20"/>
          <w:rFonts w:hint="eastAsia" w:ascii="仿宋" w:hAnsi="仿宋" w:eastAsia="仿宋" w:cs="仿宋"/>
          <w:b/>
          <w:bCs/>
          <w:i w:val="0"/>
          <w:iCs w:val="0"/>
          <w:caps w:val="0"/>
          <w:color w:val="555555"/>
          <w:spacing w:val="0"/>
          <w:kern w:val="0"/>
          <w:sz w:val="28"/>
          <w:szCs w:val="28"/>
          <w:lang w:val="en-US" w:eastAsia="zh-CN" w:bidi="ar"/>
        </w:rPr>
        <w:t>报名时间、报名方式：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xml:space="preserve">  </w:t>
      </w:r>
      <w:r>
        <w:rPr>
          <w:rStyle w:val="20"/>
          <w:rFonts w:hint="eastAsia" w:ascii="仿宋" w:hAnsi="仿宋" w:eastAsia="仿宋" w:cs="仿宋"/>
          <w:b w:val="0"/>
          <w:bCs w:val="0"/>
          <w:i w:val="0"/>
          <w:iCs w:val="0"/>
          <w:caps w:val="0"/>
          <w:color w:val="555555"/>
          <w:spacing w:val="0"/>
          <w:kern w:val="0"/>
          <w:sz w:val="28"/>
          <w:szCs w:val="28"/>
          <w:lang w:val="en-US" w:eastAsia="zh-CN" w:bidi="ar"/>
        </w:rPr>
        <w:t>本次竞争性谈判活动采用邮箱报名，不需要到现场报名，供应商须将报名表、营业执照扫描件于2022年8月7日下午17:00之前发送到到电子邮箱gzszlyycgb@126.com。如有疑问，请拨打电话0797-</w:t>
      </w:r>
      <w:r>
        <w:rPr>
          <w:rFonts w:hint="eastAsia" w:ascii="仿宋" w:hAnsi="仿宋" w:eastAsia="仿宋" w:cs="仿宋"/>
          <w:b w:val="0"/>
          <w:bCs w:val="0"/>
          <w:i w:val="0"/>
          <w:iCs w:val="0"/>
          <w:caps w:val="0"/>
          <w:color w:val="555555"/>
          <w:spacing w:val="0"/>
          <w:kern w:val="0"/>
          <w:sz w:val="28"/>
          <w:szCs w:val="28"/>
          <w:lang w:val="en-US" w:eastAsia="zh-CN" w:bidi="ar"/>
        </w:rPr>
        <w:t>8105097游龙跃</w:t>
      </w:r>
      <w:r>
        <w:rPr>
          <w:rStyle w:val="20"/>
          <w:rFonts w:hint="eastAsia" w:ascii="仿宋" w:hAnsi="仿宋" w:eastAsia="仿宋" w:cs="仿宋"/>
          <w:b w:val="0"/>
          <w:bCs w:val="0"/>
          <w:i w:val="0"/>
          <w:iCs w:val="0"/>
          <w:caps w:val="0"/>
          <w:color w:val="555555"/>
          <w:spacing w:val="0"/>
          <w:kern w:val="0"/>
          <w:sz w:val="28"/>
          <w:szCs w:val="28"/>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七、响应截止时间和谈判时间：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xml:space="preserve">  </w:t>
      </w:r>
      <w:r>
        <w:rPr>
          <w:rStyle w:val="20"/>
          <w:rFonts w:hint="eastAsia" w:ascii="仿宋" w:hAnsi="仿宋" w:eastAsia="仿宋" w:cs="仿宋"/>
          <w:b w:val="0"/>
          <w:bCs w:val="0"/>
          <w:i w:val="0"/>
          <w:iCs w:val="0"/>
          <w:caps w:val="0"/>
          <w:color w:val="555555"/>
          <w:spacing w:val="0"/>
          <w:kern w:val="0"/>
          <w:sz w:val="28"/>
          <w:szCs w:val="28"/>
          <w:lang w:val="en-US" w:eastAsia="zh-CN" w:bidi="ar"/>
        </w:rPr>
        <w:t>现场响应截止时间：2022年8月8日（星期一）下午16：00。</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Fonts w:hint="eastAsia" w:ascii="仿宋" w:hAnsi="仿宋" w:eastAsia="仿宋" w:cs="仿宋"/>
          <w:b w:val="0"/>
          <w:bCs w:val="0"/>
          <w:i w:val="0"/>
          <w:iCs w:val="0"/>
          <w:caps w:val="0"/>
          <w:color w:val="555555"/>
          <w:spacing w:val="0"/>
          <w:kern w:val="0"/>
          <w:sz w:val="28"/>
          <w:szCs w:val="28"/>
          <w:lang w:val="en-US" w:eastAsia="zh-CN" w:bidi="ar"/>
        </w:rPr>
        <w:t xml:space="preserve">  </w:t>
      </w:r>
      <w:r>
        <w:rPr>
          <w:rStyle w:val="20"/>
          <w:rFonts w:hint="eastAsia" w:ascii="仿宋" w:hAnsi="仿宋" w:eastAsia="仿宋" w:cs="仿宋"/>
          <w:b w:val="0"/>
          <w:bCs w:val="0"/>
          <w:i w:val="0"/>
          <w:iCs w:val="0"/>
          <w:caps w:val="0"/>
          <w:color w:val="555555"/>
          <w:spacing w:val="0"/>
          <w:kern w:val="0"/>
          <w:sz w:val="28"/>
          <w:szCs w:val="28"/>
          <w:lang w:val="en-US" w:eastAsia="zh-CN" w:bidi="ar"/>
        </w:rPr>
        <w:t>现场谈判地点：赣州市肿瘤医院门诊楼401。</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Fonts w:hint="eastAsia" w:ascii="仿宋" w:hAnsi="仿宋" w:eastAsia="仿宋" w:cs="仿宋"/>
          <w:b w:val="0"/>
          <w:bCs w:val="0"/>
          <w:i w:val="0"/>
          <w:iCs w:val="0"/>
          <w:caps w:val="0"/>
          <w:color w:val="555555"/>
          <w:spacing w:val="0"/>
          <w:kern w:val="0"/>
          <w:sz w:val="28"/>
          <w:szCs w:val="28"/>
          <w:lang w:val="en-US" w:eastAsia="zh-CN" w:bidi="ar"/>
        </w:rPr>
        <w:t xml:space="preserve">  </w:t>
      </w:r>
      <w:r>
        <w:rPr>
          <w:rStyle w:val="20"/>
          <w:rFonts w:hint="eastAsia" w:ascii="仿宋" w:hAnsi="仿宋" w:eastAsia="仿宋" w:cs="仿宋"/>
          <w:b w:val="0"/>
          <w:bCs w:val="0"/>
          <w:i w:val="0"/>
          <w:iCs w:val="0"/>
          <w:caps w:val="0"/>
          <w:color w:val="555555"/>
          <w:spacing w:val="0"/>
          <w:kern w:val="0"/>
          <w:sz w:val="28"/>
          <w:szCs w:val="28"/>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numPr>
          <w:ilvl w:val="0"/>
          <w:numId w:val="0"/>
        </w:numPr>
        <w:ind w:leftChars="0"/>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履约保证金及退回方式：</w:t>
      </w:r>
    </w:p>
    <w:p>
      <w:pPr>
        <w:numPr>
          <w:ilvl w:val="0"/>
          <w:numId w:val="0"/>
        </w:numPr>
        <w:ind w:leftChars="0" w:firstLine="560" w:firstLineChars="200"/>
        <w:rPr>
          <w:rFonts w:hint="eastAsia" w:ascii="仿宋" w:hAnsi="仿宋" w:eastAsia="仿宋" w:cs="仿宋"/>
          <w:b/>
          <w:bCs/>
          <w:kern w:val="0"/>
          <w:sz w:val="28"/>
          <w:szCs w:val="28"/>
        </w:rPr>
      </w:pPr>
      <w:r>
        <w:rPr>
          <w:rFonts w:hint="eastAsia" w:ascii="仿宋" w:hAnsi="仿宋" w:eastAsia="仿宋" w:cs="仿宋"/>
          <w:sz w:val="28"/>
          <w:szCs w:val="28"/>
        </w:rPr>
        <w:t>成交供应商还须缴纳履约保证金（履约保证金以银行转账（电汇）、支票、汇票、本票或者金融机构、担保机构出具的保函等非现金形式提交），按成交金额的5%缴纳履约保证金。履约保证金由采购人收取，履约结束时一次性无息退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Fonts w:hint="eastAsia" w:ascii="仿宋" w:hAnsi="仿宋" w:eastAsia="仿宋" w:cs="仿宋"/>
          <w:sz w:val="28"/>
          <w:szCs w:val="28"/>
          <w:highlight w:val="yellow"/>
        </w:rPr>
      </w:pPr>
      <w:r>
        <w:rPr>
          <w:rFonts w:hint="eastAsia" w:ascii="仿宋" w:hAnsi="仿宋" w:eastAsia="仿宋" w:cs="仿宋"/>
          <w:sz w:val="28"/>
          <w:szCs w:val="28"/>
          <w:highlight w:val="none"/>
        </w:rPr>
        <w:t>合同签订、货物送达、安装调试、培训完成且验收合格,收到符合国家法律规定的税票后30天内支付合同总额的100%。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555555"/>
          <w:spacing w:val="0"/>
          <w:kern w:val="0"/>
          <w:sz w:val="28"/>
          <w:szCs w:val="28"/>
          <w:lang w:val="en-US" w:eastAsia="zh-CN" w:bidi="ar"/>
        </w:rPr>
      </w:pPr>
      <w:r>
        <w:rPr>
          <w:rStyle w:val="20"/>
          <w:rFonts w:hint="eastAsia" w:ascii="仿宋" w:hAnsi="仿宋" w:eastAsia="仿宋" w:cs="仿宋"/>
          <w:b/>
          <w:bCs/>
          <w:i w:val="0"/>
          <w:iCs w:val="0"/>
          <w:caps w:val="0"/>
          <w:color w:val="555555"/>
          <w:spacing w:val="0"/>
          <w:kern w:val="0"/>
          <w:sz w:val="28"/>
          <w:szCs w:val="28"/>
          <w:lang w:val="en-US" w:eastAsia="zh-CN" w:bidi="ar"/>
        </w:rPr>
        <w:t>十、联系方式：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555555"/>
          <w:spacing w:val="0"/>
          <w:sz w:val="28"/>
          <w:szCs w:val="28"/>
          <w:lang w:val="en-US"/>
        </w:rPr>
      </w:pPr>
      <w:r>
        <w:rPr>
          <w:rFonts w:hint="eastAsia" w:ascii="仿宋" w:hAnsi="仿宋" w:eastAsia="仿宋" w:cs="仿宋"/>
          <w:i w:val="0"/>
          <w:iCs w:val="0"/>
          <w:caps w:val="0"/>
          <w:color w:val="555555"/>
          <w:spacing w:val="0"/>
          <w:kern w:val="0"/>
          <w:sz w:val="28"/>
          <w:szCs w:val="28"/>
          <w:lang w:val="en-US" w:eastAsia="zh-CN" w:bidi="ar"/>
        </w:rPr>
        <w:t>联系人：游龙跃</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网址：http://www.gzzlyy.com/</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附件1：赣州市肿瘤医院采购会报名表</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"http://www.gzzlyy.com/uploads/soft/210705/1-210F5114455.doc"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VBoTY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i w:val="0"/>
          <w:iCs w:val="0"/>
          <w:caps w:val="0"/>
          <w:color w:val="555555"/>
          <w:spacing w:val="0"/>
          <w:kern w:val="0"/>
          <w:sz w:val="28"/>
          <w:szCs w:val="28"/>
          <w:lang w:val="en-US" w:eastAsia="zh-CN" w:bidi="ar"/>
        </w:rPr>
        <w:t>附件2：竞争性谈判文件</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sDsVf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firstLine="6160" w:firstLineChars="2200"/>
        <w:jc w:val="left"/>
        <w:rPr>
          <w:rFonts w:hint="eastAsia" w:ascii="仿宋" w:hAnsi="仿宋" w:eastAsia="仿宋" w:cs="仿宋"/>
          <w:i w:val="0"/>
          <w:iCs w:val="0"/>
          <w:caps w:val="0"/>
          <w:color w:val="555555"/>
          <w:spacing w:val="0"/>
          <w:kern w:val="0"/>
          <w:sz w:val="28"/>
          <w:szCs w:val="28"/>
          <w:lang w:val="en-US" w:eastAsia="zh-CN" w:bidi="ar"/>
        </w:rPr>
      </w:pPr>
    </w:p>
    <w:p>
      <w:pPr>
        <w:keepNext w:val="0"/>
        <w:keepLines w:val="0"/>
        <w:widowControl/>
        <w:suppressLineNumbers w:val="0"/>
        <w:spacing w:before="0" w:beforeAutospacing="0" w:after="0" w:afterAutospacing="0"/>
        <w:ind w:left="0" w:right="0" w:firstLine="6160" w:firstLineChars="220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2022年8月4日</w:t>
      </w: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5" w:name="_Toc519068566"/>
      <w:bookmarkEnd w:id="5"/>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6" w:name="_Toc29044"/>
      <w:bookmarkStart w:id="7"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6"/>
      <w:bookmarkEnd w:id="7"/>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8"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8"/>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9" w:name="_Toc361733090"/>
      <w:bookmarkStart w:id="10"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9"/>
      <w:bookmarkEnd w:id="10"/>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1" w:name="_Toc20158"/>
      <w:bookmarkStart w:id="12"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1"/>
      <w:bookmarkEnd w:id="12"/>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3" w:name="_Toc519068570"/>
      <w:bookmarkEnd w:id="13"/>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rPr>
      </w:pPr>
      <w:bookmarkStart w:id="14"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5" w:name="_Toc533775670"/>
      <w:r>
        <w:rPr>
          <w:rFonts w:hint="eastAsia" w:ascii="仿宋" w:hAnsi="仿宋" w:eastAsia="仿宋" w:cs="仿宋"/>
          <w:b/>
          <w:color w:val="auto"/>
          <w:sz w:val="32"/>
        </w:rPr>
        <w:t>谈判</w:t>
      </w:r>
      <w:bookmarkEnd w:id="15"/>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6"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7" w:name="_Toc377297026"/>
    </w:p>
    <w:bookmarkEnd w:id="16"/>
    <w:bookmarkEnd w:id="17"/>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8"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8"/>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4"/>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9" w:name="_Toc519"/>
      <w:bookmarkStart w:id="20" w:name="_Toc29202"/>
      <w:bookmarkStart w:id="21"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9"/>
      <w:bookmarkEnd w:id="20"/>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1"/>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三、项目需求</w:t>
      </w:r>
    </w:p>
    <w:p>
      <w:pPr>
        <w:pStyle w:val="16"/>
        <w:rPr>
          <w:sz w:val="36"/>
        </w:rPr>
      </w:pPr>
      <w:r>
        <w:rPr>
          <w:rFonts w:hint="eastAsia"/>
        </w:rPr>
        <w:t>气垫床（含泵）技术参数</w:t>
      </w:r>
    </w:p>
    <w:p>
      <w:pPr>
        <w:spacing w:line="520" w:lineRule="exact"/>
        <w:ind w:firstLine="0" w:firstLineChars="0"/>
        <w:rPr>
          <w:rFonts w:hint="eastAsia" w:ascii="仿宋" w:hAnsi="仿宋" w:eastAsia="仿宋" w:cs="仿宋"/>
          <w:b/>
          <w:bCs/>
          <w:sz w:val="28"/>
          <w:szCs w:val="28"/>
        </w:rPr>
      </w:pPr>
    </w:p>
    <w:p>
      <w:pPr>
        <w:rPr>
          <w:rFonts w:hint="eastAsia" w:ascii="仿宋" w:hAnsi="仿宋" w:eastAsia="仿宋" w:cs="仿宋"/>
          <w:sz w:val="28"/>
          <w:szCs w:val="28"/>
        </w:rPr>
      </w:pPr>
      <w:r>
        <w:rPr>
          <w:rFonts w:hint="eastAsia" w:ascii="仿宋" w:hAnsi="仿宋" w:eastAsia="仿宋" w:cs="仿宋"/>
          <w:sz w:val="28"/>
          <w:szCs w:val="28"/>
        </w:rPr>
        <w:t>1、防止褥疮用，柔软、不怕折 交替循环时间 直喷，无交替。</w:t>
      </w:r>
    </w:p>
    <w:p>
      <w:pPr>
        <w:rPr>
          <w:rFonts w:hint="eastAsia" w:ascii="仿宋" w:hAnsi="仿宋" w:eastAsia="仿宋" w:cs="仿宋"/>
          <w:sz w:val="28"/>
          <w:szCs w:val="28"/>
        </w:rPr>
      </w:pPr>
      <w:r>
        <w:rPr>
          <w:rFonts w:hint="eastAsia" w:ascii="仿宋" w:hAnsi="仿宋" w:eastAsia="仿宋" w:cs="仿宋"/>
          <w:sz w:val="28"/>
          <w:szCs w:val="28"/>
        </w:rPr>
        <w:t>2、床垫材质 尼龙布贴PVC。</w:t>
      </w:r>
    </w:p>
    <w:p>
      <w:pPr>
        <w:rPr>
          <w:rFonts w:hint="eastAsia" w:ascii="仿宋" w:hAnsi="仿宋" w:eastAsia="仿宋" w:cs="仿宋"/>
          <w:sz w:val="28"/>
          <w:szCs w:val="28"/>
        </w:rPr>
      </w:pPr>
      <w:r>
        <w:rPr>
          <w:rFonts w:hint="eastAsia" w:ascii="仿宋" w:hAnsi="仿宋" w:eastAsia="仿宋" w:cs="仿宋"/>
          <w:sz w:val="28"/>
          <w:szCs w:val="28"/>
        </w:rPr>
        <w:t>3、充气泵工作方式 喷气式，充气泵最大流量 ≥6L/min</w:t>
      </w:r>
    </w:p>
    <w:p>
      <w:pPr>
        <w:rPr>
          <w:rFonts w:hint="eastAsia" w:ascii="仿宋" w:hAnsi="仿宋" w:eastAsia="仿宋" w:cs="仿宋"/>
          <w:sz w:val="28"/>
          <w:szCs w:val="28"/>
        </w:rPr>
      </w:pPr>
      <w:r>
        <w:rPr>
          <w:rFonts w:hint="eastAsia" w:ascii="仿宋" w:hAnsi="仿宋" w:eastAsia="仿宋" w:cs="仿宋"/>
          <w:color w:val="000000"/>
          <w:sz w:val="28"/>
          <w:szCs w:val="28"/>
        </w:rPr>
        <w:t>4、</w:t>
      </w:r>
      <w:r>
        <w:rPr>
          <w:rFonts w:hint="eastAsia" w:ascii="仿宋" w:hAnsi="仿宋" w:eastAsia="仿宋" w:cs="仿宋"/>
          <w:sz w:val="28"/>
          <w:szCs w:val="28"/>
        </w:rPr>
        <w:t>微孔喷气，使患者身体受压部位保持良好的空气流通，保持皮肤干燥， 分散身体压力。</w:t>
      </w:r>
    </w:p>
    <w:p>
      <w:pPr>
        <w:rPr>
          <w:rFonts w:hint="eastAsia" w:ascii="仿宋" w:hAnsi="仿宋" w:eastAsia="仿宋" w:cs="仿宋"/>
          <w:sz w:val="28"/>
          <w:szCs w:val="28"/>
        </w:rPr>
      </w:pPr>
      <w:r>
        <w:rPr>
          <w:rFonts w:hint="eastAsia" w:ascii="仿宋" w:hAnsi="仿宋" w:eastAsia="仿宋" w:cs="仿宋"/>
          <w:sz w:val="28"/>
          <w:szCs w:val="28"/>
        </w:rPr>
        <w:t>5、最大承重≥135kg ，充气泵最大出气压≥17kPa</w:t>
      </w:r>
    </w:p>
    <w:p>
      <w:pPr>
        <w:pStyle w:val="2"/>
        <w:rPr>
          <w:rFonts w:hint="eastAsia" w:ascii="仿宋" w:hAnsi="仿宋" w:eastAsia="仿宋" w:cs="仿宋"/>
          <w:b w:val="0"/>
          <w:bCs/>
          <w:sz w:val="28"/>
          <w:szCs w:val="28"/>
        </w:rPr>
      </w:pPr>
      <w:r>
        <w:rPr>
          <w:rFonts w:hint="eastAsia" w:ascii="仿宋" w:hAnsi="仿宋" w:eastAsia="仿宋" w:cs="仿宋"/>
          <w:b w:val="0"/>
          <w:bCs/>
          <w:sz w:val="28"/>
          <w:szCs w:val="28"/>
        </w:rPr>
        <w:t>6、充气尺寸：190*80*7.6cm±5%</w:t>
      </w:r>
    </w:p>
    <w:p>
      <w:pPr>
        <w:pStyle w:val="16"/>
      </w:pPr>
    </w:p>
    <w:p>
      <w:pPr>
        <w:ind w:firstLine="0" w:firstLineChars="0"/>
      </w:pPr>
      <w:r>
        <w:br w:type="page"/>
      </w:r>
    </w:p>
    <w:p>
      <w:pPr>
        <w:pStyle w:val="16"/>
        <w:rPr>
          <w:lang w:bidi="ar"/>
        </w:rPr>
      </w:pPr>
      <w:bookmarkStart w:id="22" w:name="_Hlk109748922"/>
      <w:r>
        <w:rPr>
          <w:rFonts w:hint="eastAsia"/>
          <w:lang w:bidi="ar"/>
        </w:rPr>
        <w:t>监护仪技术参数</w:t>
      </w:r>
    </w:p>
    <w:bookmarkEnd w:id="22"/>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1、一体式监护仪,可用于监护成人,儿童,新生儿患者</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2、≥10.4寸彩色LCD显示屏，LED背光，彩色高分辨率≥800*600，8通道波形显示</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3、可选配触摸屏</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监测参数：</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4、标准配置可监测心电，呼吸，无创血压，血氧饱和度，脉搏和体温</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5、具备ECG多导同步分析功能，同时分析多个心电导联，个别导联干扰情况下仍能准确监测</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6、具备智能导联脱落监测功能，个别导联脱落的情况下仍能保持监护</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7、可显示PI血氧灌注指数，有效反映血氧灌注情况</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8、具备抗干扰和弱灌注血氧技术</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9、NIBP和BP的测量范围宽，大大提升边界情况的测量准确性</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10、HR测量范围包含：[15,300]bpm。精度：±1bpm或更佳。</w:t>
      </w:r>
    </w:p>
    <w:p>
      <w:pPr>
        <w:rPr>
          <w:rFonts w:hint="eastAsia" w:ascii="仿宋" w:hAnsi="仿宋" w:eastAsia="仿宋" w:cs="仿宋"/>
          <w:sz w:val="28"/>
          <w:szCs w:val="28"/>
          <w:lang w:bidi="ar"/>
        </w:rPr>
      </w:pPr>
      <w:r>
        <w:rPr>
          <w:rFonts w:hint="eastAsia" w:ascii="仿宋" w:hAnsi="仿宋" w:eastAsia="仿宋" w:cs="仿宋"/>
          <w:sz w:val="28"/>
          <w:szCs w:val="28"/>
          <w:lang w:bidi="ar"/>
        </w:rPr>
        <w:t>RESP测量范围包含：</w:t>
      </w:r>
    </w:p>
    <w:p>
      <w:pPr>
        <w:rPr>
          <w:rFonts w:hint="eastAsia" w:ascii="仿宋" w:hAnsi="仿宋" w:eastAsia="仿宋" w:cs="仿宋"/>
          <w:sz w:val="28"/>
          <w:szCs w:val="28"/>
          <w:lang w:bidi="ar"/>
        </w:rPr>
      </w:pPr>
      <w:r>
        <w:rPr>
          <w:rFonts w:hint="eastAsia" w:ascii="仿宋" w:hAnsi="仿宋" w:eastAsia="仿宋" w:cs="仿宋"/>
          <w:sz w:val="28"/>
          <w:szCs w:val="28"/>
          <w:lang w:bidi="ar"/>
        </w:rPr>
        <w:t>儿童、新生儿患者：[0,150]rpm，成人：[0,120]rpm。</w:t>
      </w:r>
    </w:p>
    <w:p>
      <w:pPr>
        <w:rPr>
          <w:rFonts w:hint="eastAsia" w:ascii="仿宋" w:hAnsi="仿宋" w:eastAsia="仿宋" w:cs="仿宋"/>
          <w:sz w:val="28"/>
          <w:szCs w:val="28"/>
          <w:lang w:bidi="ar"/>
        </w:rPr>
      </w:pPr>
      <w:r>
        <w:rPr>
          <w:rFonts w:hint="eastAsia" w:ascii="仿宋" w:hAnsi="仿宋" w:eastAsia="仿宋" w:cs="仿宋"/>
          <w:sz w:val="28"/>
          <w:szCs w:val="28"/>
          <w:lang w:bidi="ar"/>
        </w:rPr>
        <w:t>精度：7-150rmp:±2bpm或更佳。</w:t>
      </w:r>
    </w:p>
    <w:p>
      <w:pPr>
        <w:rPr>
          <w:rFonts w:hint="eastAsia" w:ascii="仿宋" w:hAnsi="仿宋" w:eastAsia="仿宋" w:cs="仿宋"/>
          <w:sz w:val="28"/>
          <w:szCs w:val="28"/>
          <w:lang w:bidi="ar"/>
        </w:rPr>
      </w:pPr>
      <w:r>
        <w:rPr>
          <w:rFonts w:hint="eastAsia" w:ascii="仿宋" w:hAnsi="仿宋" w:eastAsia="仿宋" w:cs="仿宋"/>
          <w:sz w:val="28"/>
          <w:szCs w:val="28"/>
          <w:lang w:bidi="ar"/>
        </w:rPr>
        <w:t>NIBP测量范围包含：</w:t>
      </w:r>
    </w:p>
    <w:p>
      <w:pPr>
        <w:rPr>
          <w:rFonts w:hint="eastAsia" w:ascii="仿宋" w:hAnsi="仿宋" w:eastAsia="仿宋" w:cs="仿宋"/>
          <w:sz w:val="28"/>
          <w:szCs w:val="28"/>
          <w:lang w:bidi="ar"/>
        </w:rPr>
      </w:pPr>
      <w:r>
        <w:rPr>
          <w:rFonts w:hint="eastAsia" w:ascii="仿宋" w:hAnsi="仿宋" w:eastAsia="仿宋" w:cs="仿宋"/>
          <w:sz w:val="28"/>
          <w:szCs w:val="28"/>
          <w:lang w:bidi="ar"/>
        </w:rPr>
        <w:t>成人:sys:[25,290],dia:[10,250],avr:[15,260]；</w:t>
      </w:r>
    </w:p>
    <w:p>
      <w:pPr>
        <w:rPr>
          <w:rFonts w:hint="eastAsia" w:ascii="仿宋" w:hAnsi="仿宋" w:eastAsia="仿宋" w:cs="仿宋"/>
          <w:sz w:val="28"/>
          <w:szCs w:val="28"/>
          <w:lang w:bidi="ar"/>
        </w:rPr>
      </w:pPr>
      <w:r>
        <w:rPr>
          <w:rFonts w:hint="eastAsia" w:ascii="仿宋" w:hAnsi="仿宋" w:eastAsia="仿宋" w:cs="仿宋"/>
          <w:sz w:val="28"/>
          <w:szCs w:val="28"/>
          <w:lang w:bidi="ar"/>
        </w:rPr>
        <w:t>小儿:sys:[25,240],dia:[10,200],avr:[15,215]；</w:t>
      </w:r>
    </w:p>
    <w:p>
      <w:pPr>
        <w:rPr>
          <w:rFonts w:hint="eastAsia" w:ascii="仿宋" w:hAnsi="仿宋" w:eastAsia="仿宋" w:cs="仿宋"/>
          <w:sz w:val="28"/>
          <w:szCs w:val="28"/>
          <w:lang w:bidi="ar"/>
        </w:rPr>
      </w:pPr>
      <w:r>
        <w:rPr>
          <w:rFonts w:hint="eastAsia" w:ascii="仿宋" w:hAnsi="仿宋" w:eastAsia="仿宋" w:cs="仿宋"/>
          <w:sz w:val="28"/>
          <w:szCs w:val="28"/>
          <w:lang w:bidi="ar"/>
        </w:rPr>
        <w:t>新生儿:sys:[25,140],dia:[10,115],avr:[15,125]。</w:t>
      </w:r>
    </w:p>
    <w:p>
      <w:pPr>
        <w:rPr>
          <w:rFonts w:hint="eastAsia" w:ascii="仿宋" w:hAnsi="仿宋" w:eastAsia="仿宋" w:cs="仿宋"/>
          <w:sz w:val="28"/>
          <w:szCs w:val="28"/>
          <w:lang w:bidi="ar"/>
        </w:rPr>
      </w:pPr>
      <w:r>
        <w:rPr>
          <w:rFonts w:hint="eastAsia" w:ascii="仿宋" w:hAnsi="仿宋" w:eastAsia="仿宋" w:cs="仿宋"/>
          <w:sz w:val="28"/>
          <w:szCs w:val="28"/>
          <w:lang w:bidi="ar"/>
        </w:rPr>
        <w:t>精度：最大平均误差：±5mmHg；最大标准差：8mmHg。</w:t>
      </w:r>
    </w:p>
    <w:p>
      <w:pPr>
        <w:pStyle w:val="2"/>
        <w:rPr>
          <w:rFonts w:hint="eastAsia" w:ascii="仿宋" w:hAnsi="仿宋" w:eastAsia="仿宋" w:cs="仿宋"/>
          <w:b w:val="0"/>
          <w:bCs/>
          <w:sz w:val="28"/>
          <w:szCs w:val="28"/>
          <w:lang w:bidi="ar"/>
        </w:rPr>
      </w:pPr>
      <w:r>
        <w:rPr>
          <w:rFonts w:hint="eastAsia" w:ascii="仿宋" w:hAnsi="仿宋" w:eastAsia="仿宋" w:cs="仿宋"/>
          <w:b w:val="0"/>
          <w:bCs/>
          <w:sz w:val="28"/>
          <w:szCs w:val="28"/>
          <w:lang w:bidi="ar"/>
        </w:rPr>
        <w:t>SpO2测量范围：0-100%。精度：70%-100%:±2%。</w:t>
      </w:r>
    </w:p>
    <w:p>
      <w:pPr>
        <w:pStyle w:val="2"/>
        <w:rPr>
          <w:rFonts w:hint="eastAsia" w:ascii="仿宋" w:hAnsi="仿宋" w:eastAsia="仿宋" w:cs="仿宋"/>
          <w:b w:val="0"/>
          <w:bCs/>
          <w:sz w:val="28"/>
          <w:szCs w:val="28"/>
          <w:lang w:bidi="ar"/>
        </w:rPr>
      </w:pPr>
      <w:r>
        <w:rPr>
          <w:rFonts w:hint="eastAsia" w:ascii="仿宋" w:hAnsi="仿宋" w:eastAsia="仿宋" w:cs="仿宋"/>
          <w:b w:val="0"/>
          <w:bCs/>
          <w:sz w:val="28"/>
          <w:szCs w:val="28"/>
          <w:lang w:bidi="ar"/>
        </w:rPr>
        <w:t>PR测量范围包含：[20,254]bpm。精度：±3bpm。</w:t>
      </w:r>
    </w:p>
    <w:p>
      <w:pPr>
        <w:pStyle w:val="2"/>
        <w:rPr>
          <w:rFonts w:hint="eastAsia" w:ascii="仿宋" w:hAnsi="仿宋" w:eastAsia="仿宋" w:cs="仿宋"/>
          <w:b w:val="0"/>
          <w:bCs/>
          <w:sz w:val="28"/>
          <w:szCs w:val="28"/>
          <w:lang w:bidi="ar"/>
        </w:rPr>
      </w:pPr>
      <w:r>
        <w:rPr>
          <w:rFonts w:hint="eastAsia" w:ascii="仿宋" w:hAnsi="仿宋" w:eastAsia="仿宋" w:cs="仿宋"/>
          <w:b w:val="0"/>
          <w:bCs/>
          <w:sz w:val="28"/>
          <w:szCs w:val="28"/>
          <w:lang w:bidi="ar"/>
        </w:rPr>
        <w:t>Temp测量范围包含：[0,50]℃。精度：±0.1℃（无探针）。</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11、支持心率变化统计和动态血压分析</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12、支持中/英文字符和条码扫描枪输入</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13、具有三级声光报警，参数报警级别可调</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14、具备报警集中设置功能</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15、具备血液动力学、药物计算功能</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16、可选内置存储卡，也支持外部USB存储设备，支持掉电存储和U盘数据导入导出功能</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17、具备NurseCall报警功能</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18、支持VGA外接拓展显示屏</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19、具备趋势共存界面、呼吸氧合图界面，大字体显示界面，及标准显示界面等多种显示界面</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20、具备成人、小儿、新生儿三种病人配置，支持U盘导入导出配置</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21、标配普通锂电池，工作时间可达4小时；</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22、支持3通道记录仪</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23、整机无风扇设计，降低环境噪音干扰</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24、支持附件收纳盒设计，让床旁附件管理更有序、更高效</w:t>
      </w:r>
    </w:p>
    <w:p>
      <w:pPr>
        <w:ind w:firstLine="0" w:firstLineChars="0"/>
        <w:rPr>
          <w:rFonts w:hint="eastAsia" w:ascii="仿宋" w:hAnsi="仿宋" w:eastAsia="仿宋" w:cs="仿宋"/>
          <w:sz w:val="28"/>
          <w:szCs w:val="28"/>
          <w:lang w:bidi="ar"/>
        </w:rPr>
      </w:pPr>
      <w:r>
        <w:rPr>
          <w:rFonts w:hint="eastAsia" w:ascii="仿宋" w:hAnsi="仿宋" w:eastAsia="仿宋" w:cs="仿宋"/>
          <w:sz w:val="28"/>
          <w:szCs w:val="28"/>
          <w:lang w:bidi="ar"/>
        </w:rPr>
        <w:t>25、防水等级达到IPX1标准</w:t>
      </w:r>
    </w:p>
    <w:p>
      <w:pPr>
        <w:ind w:firstLine="0" w:firstLineChars="0"/>
      </w:pPr>
    </w:p>
    <w:p>
      <w:pPr>
        <w:pStyle w:val="16"/>
        <w:rPr>
          <w:sz w:val="28"/>
          <w:szCs w:val="28"/>
          <w:lang w:bidi="ar"/>
        </w:rPr>
      </w:pPr>
      <w:r>
        <w:rPr>
          <w:rFonts w:hint="eastAsia"/>
          <w:lang w:bidi="ar"/>
        </w:rPr>
        <w:t>电动吸引器技术参数</w:t>
      </w:r>
    </w:p>
    <w:p>
      <w:pPr>
        <w:rPr>
          <w:rFonts w:hint="eastAsia" w:ascii="仿宋" w:hAnsi="仿宋" w:eastAsia="仿宋" w:cs="仿宋"/>
          <w:sz w:val="28"/>
          <w:szCs w:val="28"/>
          <w:lang w:bidi="ar"/>
        </w:rPr>
      </w:pPr>
      <w:r>
        <w:rPr>
          <w:rFonts w:hint="eastAsia" w:ascii="仿宋" w:hAnsi="仿宋" w:eastAsia="仿宋" w:cs="仿宋"/>
          <w:sz w:val="28"/>
          <w:szCs w:val="28"/>
          <w:lang w:bidi="ar"/>
        </w:rPr>
        <w:t>1、适合手术室、病房用于吸取病人体腔内的脓、血、痰等粘质液体。</w:t>
      </w:r>
    </w:p>
    <w:p>
      <w:pPr>
        <w:rPr>
          <w:rFonts w:hint="eastAsia" w:ascii="仿宋" w:hAnsi="仿宋" w:eastAsia="仿宋" w:cs="仿宋"/>
          <w:sz w:val="28"/>
          <w:szCs w:val="28"/>
          <w:lang w:bidi="ar"/>
        </w:rPr>
      </w:pPr>
      <w:r>
        <w:rPr>
          <w:rFonts w:hint="eastAsia" w:ascii="仿宋" w:hAnsi="仿宋" w:eastAsia="仿宋" w:cs="仿宋"/>
          <w:sz w:val="28"/>
          <w:szCs w:val="28"/>
          <w:lang w:bidi="ar"/>
        </w:rPr>
        <w:t>2、泵结构：进口膜式泵</w:t>
      </w:r>
    </w:p>
    <w:p>
      <w:pPr>
        <w:rPr>
          <w:rFonts w:hint="eastAsia" w:ascii="仿宋" w:hAnsi="仿宋" w:eastAsia="仿宋" w:cs="仿宋"/>
          <w:sz w:val="28"/>
          <w:szCs w:val="28"/>
          <w:lang w:bidi="ar"/>
        </w:rPr>
      </w:pPr>
      <w:r>
        <w:rPr>
          <w:rFonts w:hint="eastAsia" w:ascii="仿宋" w:hAnsi="仿宋" w:eastAsia="仿宋" w:cs="仿宋"/>
          <w:sz w:val="28"/>
          <w:szCs w:val="28"/>
          <w:lang w:bidi="ar"/>
        </w:rPr>
        <w:t>3、抽气速率：≥20L/min</w:t>
      </w:r>
    </w:p>
    <w:p>
      <w:pPr>
        <w:rPr>
          <w:rFonts w:hint="eastAsia" w:ascii="仿宋" w:hAnsi="仿宋" w:eastAsia="仿宋" w:cs="仿宋"/>
          <w:sz w:val="28"/>
          <w:szCs w:val="28"/>
          <w:lang w:bidi="ar"/>
        </w:rPr>
      </w:pPr>
      <w:r>
        <w:rPr>
          <w:rFonts w:hint="eastAsia" w:ascii="仿宋" w:hAnsi="仿宋" w:eastAsia="仿宋" w:cs="仿宋"/>
          <w:sz w:val="28"/>
          <w:szCs w:val="28"/>
          <w:lang w:bidi="ar"/>
        </w:rPr>
        <w:t>4、负压调节范围：0.013～0.090MPa</w:t>
      </w:r>
    </w:p>
    <w:p>
      <w:pPr>
        <w:rPr>
          <w:rFonts w:hint="eastAsia" w:ascii="仿宋" w:hAnsi="仿宋" w:eastAsia="仿宋" w:cs="仿宋"/>
          <w:sz w:val="28"/>
          <w:szCs w:val="28"/>
          <w:lang w:bidi="ar"/>
        </w:rPr>
      </w:pPr>
      <w:r>
        <w:rPr>
          <w:rFonts w:hint="eastAsia" w:ascii="仿宋" w:hAnsi="仿宋" w:eastAsia="仿宋" w:cs="仿宋"/>
          <w:sz w:val="28"/>
          <w:szCs w:val="28"/>
          <w:lang w:bidi="ar"/>
        </w:rPr>
        <w:t>5、吸液瓶：2500ml×2</w:t>
      </w:r>
    </w:p>
    <w:p>
      <w:pPr>
        <w:rPr>
          <w:rFonts w:hint="eastAsia" w:ascii="仿宋" w:hAnsi="仿宋" w:eastAsia="仿宋" w:cs="仿宋"/>
          <w:sz w:val="28"/>
          <w:szCs w:val="28"/>
          <w:lang w:bidi="ar"/>
        </w:rPr>
      </w:pPr>
      <w:r>
        <w:rPr>
          <w:rFonts w:hint="eastAsia" w:ascii="仿宋" w:hAnsi="仿宋" w:eastAsia="仿宋" w:cs="仿宋"/>
          <w:sz w:val="28"/>
          <w:szCs w:val="28"/>
          <w:lang w:bidi="ar"/>
        </w:rPr>
        <w:t>6、噪音：≤55dB</w:t>
      </w:r>
    </w:p>
    <w:p>
      <w:pPr>
        <w:rPr>
          <w:rFonts w:hint="eastAsia" w:ascii="仿宋" w:hAnsi="仿宋" w:eastAsia="仿宋" w:cs="仿宋"/>
          <w:sz w:val="28"/>
          <w:szCs w:val="28"/>
          <w:lang w:bidi="ar"/>
        </w:rPr>
      </w:pPr>
      <w:r>
        <w:rPr>
          <w:rFonts w:hint="eastAsia" w:ascii="仿宋" w:hAnsi="仿宋" w:eastAsia="仿宋" w:cs="仿宋"/>
          <w:sz w:val="28"/>
          <w:szCs w:val="28"/>
          <w:lang w:bidi="ar"/>
        </w:rPr>
        <w:t>7、工作制：间隙加载连续运行</w:t>
      </w:r>
    </w:p>
    <w:p>
      <w:pPr>
        <w:rPr>
          <w:rFonts w:hint="eastAsia" w:ascii="仿宋" w:hAnsi="仿宋" w:eastAsia="仿宋" w:cs="仿宋"/>
          <w:sz w:val="28"/>
          <w:szCs w:val="28"/>
          <w:lang w:bidi="ar"/>
        </w:rPr>
      </w:pPr>
      <w:r>
        <w:rPr>
          <w:rFonts w:hint="eastAsia" w:ascii="仿宋" w:hAnsi="仿宋" w:eastAsia="仿宋" w:cs="仿宋"/>
          <w:sz w:val="28"/>
          <w:szCs w:val="28"/>
          <w:lang w:bidi="ar"/>
        </w:rPr>
        <w:t>8、产品的材质、结构要求：ABS一次成型全塑外壳；膜式泵，使用寿命长，噪音低，免维护；溢流保护装置，防止液体进入泵内；手推式，备有手动开关和脚踏开关。</w:t>
      </w:r>
    </w:p>
    <w:p>
      <w:pPr>
        <w:rPr>
          <w:rFonts w:hint="eastAsia" w:ascii="仿宋" w:hAnsi="仿宋" w:eastAsia="仿宋" w:cs="仿宋"/>
          <w:sz w:val="28"/>
          <w:szCs w:val="28"/>
          <w:lang w:bidi="ar"/>
        </w:rPr>
      </w:pPr>
      <w:r>
        <w:rPr>
          <w:rFonts w:hint="eastAsia" w:ascii="仿宋" w:hAnsi="仿宋" w:eastAsia="仿宋" w:cs="仿宋"/>
          <w:sz w:val="28"/>
          <w:szCs w:val="28"/>
          <w:lang w:bidi="ar"/>
        </w:rPr>
        <w:t>9、基本配置：脚踏开关1个、吸引管1支、透明硅胶管1根</w:t>
      </w:r>
    </w:p>
    <w:p>
      <w:pPr>
        <w:ind w:firstLine="0" w:firstLineChars="0"/>
      </w:pPr>
      <w:r>
        <w:br w:type="page"/>
      </w:r>
    </w:p>
    <w:p>
      <w:pPr>
        <w:pStyle w:val="16"/>
      </w:pPr>
      <w:r>
        <w:rPr>
          <w:rFonts w:hint="eastAsia"/>
        </w:rPr>
        <w:t>手术床技术参数</w:t>
      </w:r>
    </w:p>
    <w:p>
      <w:pPr>
        <w:rPr>
          <w:rFonts w:hint="eastAsia" w:ascii="仿宋" w:hAnsi="仿宋" w:eastAsia="仿宋" w:cs="仿宋"/>
          <w:sz w:val="28"/>
          <w:szCs w:val="28"/>
        </w:rPr>
      </w:pPr>
      <w:r>
        <w:rPr>
          <w:rFonts w:hint="eastAsia" w:ascii="仿宋" w:hAnsi="仿宋" w:eastAsia="仿宋" w:cs="仿宋"/>
          <w:sz w:val="28"/>
          <w:szCs w:val="28"/>
        </w:rPr>
        <w:t>1、电动手术台，床架采用不锈钢制作而成，上下升降电动推杆提供动力驱动，产品设计注重人性化和舒适化，外观精致美观。</w:t>
      </w:r>
    </w:p>
    <w:p>
      <w:pPr>
        <w:rPr>
          <w:rFonts w:hint="eastAsia" w:ascii="仿宋" w:hAnsi="仿宋" w:eastAsia="仿宋" w:cs="仿宋"/>
          <w:sz w:val="28"/>
          <w:szCs w:val="28"/>
        </w:rPr>
      </w:pPr>
      <w:r>
        <w:rPr>
          <w:rFonts w:hint="eastAsia" w:ascii="仿宋" w:hAnsi="仿宋" w:eastAsia="仿宋" w:cs="仿宋"/>
          <w:sz w:val="28"/>
          <w:szCs w:val="28"/>
        </w:rPr>
        <w:t>2、床面的无缝设计，更有利于设备的清洁和医护人员的清理和防护。</w:t>
      </w:r>
    </w:p>
    <w:p>
      <w:pPr>
        <w:rPr>
          <w:rFonts w:hint="eastAsia" w:ascii="仿宋" w:hAnsi="仿宋" w:eastAsia="仿宋" w:cs="仿宋"/>
          <w:sz w:val="28"/>
          <w:szCs w:val="28"/>
        </w:rPr>
      </w:pPr>
      <w:r>
        <w:rPr>
          <w:rFonts w:hint="eastAsia" w:ascii="仿宋" w:hAnsi="仿宋" w:eastAsia="仿宋" w:cs="仿宋"/>
          <w:sz w:val="28"/>
          <w:szCs w:val="28"/>
        </w:rPr>
        <w:t>3、三段式床身设计适用于各种妇科手术，符合人体工程学设计，能有效降低医护人员的劳动强度。</w:t>
      </w:r>
    </w:p>
    <w:p>
      <w:pPr>
        <w:rPr>
          <w:rFonts w:hint="eastAsia" w:ascii="仿宋" w:hAnsi="仿宋" w:eastAsia="仿宋" w:cs="仿宋"/>
          <w:sz w:val="28"/>
          <w:szCs w:val="28"/>
        </w:rPr>
      </w:pPr>
      <w:r>
        <w:rPr>
          <w:rFonts w:hint="eastAsia" w:ascii="仿宋" w:hAnsi="仿宋" w:eastAsia="仿宋" w:cs="仿宋"/>
          <w:sz w:val="28"/>
          <w:szCs w:val="28"/>
        </w:rPr>
        <w:t>4、床体由不锈钢、铝合金、展性铸铁等高级材料构成，其中底座、升降柱等主要传动结构全部用304优质不锈钢制作，表面光洁，美观易清洁，耐腐蚀，喷塑后机械强度高。</w:t>
      </w:r>
    </w:p>
    <w:p>
      <w:pPr>
        <w:rPr>
          <w:rFonts w:hint="eastAsia" w:ascii="仿宋" w:hAnsi="仿宋" w:eastAsia="仿宋" w:cs="仿宋"/>
          <w:sz w:val="28"/>
          <w:szCs w:val="28"/>
        </w:rPr>
      </w:pPr>
      <w:r>
        <w:rPr>
          <w:rFonts w:hint="eastAsia" w:ascii="仿宋" w:hAnsi="仿宋" w:eastAsia="仿宋" w:cs="仿宋"/>
          <w:sz w:val="28"/>
          <w:szCs w:val="28"/>
        </w:rPr>
        <w:t>5、床板由抗污、抗酸碱的高强度原料组成，耐火耐用，X线穿透性良好。减压记忆床垫，抗静电，可防褥疮的发生。</w:t>
      </w:r>
    </w:p>
    <w:p>
      <w:pPr>
        <w:rPr>
          <w:rFonts w:hint="eastAsia" w:ascii="仿宋" w:hAnsi="仿宋" w:eastAsia="仿宋" w:cs="仿宋"/>
          <w:sz w:val="28"/>
          <w:szCs w:val="28"/>
        </w:rPr>
      </w:pPr>
      <w:r>
        <w:rPr>
          <w:rFonts w:hint="eastAsia" w:ascii="仿宋" w:hAnsi="仿宋" w:eastAsia="仿宋" w:cs="仿宋"/>
          <w:sz w:val="28"/>
          <w:szCs w:val="28"/>
        </w:rPr>
        <w:t>6、起背，落背方式为手摇齿轮摇动式，方便各种角度的调节。</w:t>
      </w:r>
    </w:p>
    <w:p>
      <w:pPr>
        <w:rPr>
          <w:rFonts w:hint="eastAsia" w:ascii="仿宋" w:hAnsi="仿宋" w:eastAsia="仿宋" w:cs="仿宋"/>
          <w:sz w:val="28"/>
          <w:szCs w:val="28"/>
        </w:rPr>
      </w:pPr>
      <w:r>
        <w:rPr>
          <w:rFonts w:hint="eastAsia" w:ascii="仿宋" w:hAnsi="仿宋" w:eastAsia="仿宋" w:cs="仿宋"/>
          <w:sz w:val="28"/>
          <w:szCs w:val="28"/>
        </w:rPr>
        <w:t>7、前倾，后倾体位调节为手摇齿轮摇动式，方便调节.</w:t>
      </w:r>
    </w:p>
    <w:p>
      <w:pPr>
        <w:rPr>
          <w:rFonts w:hint="eastAsia" w:ascii="仿宋" w:hAnsi="仿宋" w:eastAsia="仿宋" w:cs="仿宋"/>
          <w:sz w:val="28"/>
          <w:szCs w:val="28"/>
        </w:rPr>
      </w:pPr>
      <w:r>
        <w:rPr>
          <w:rFonts w:hint="eastAsia" w:ascii="仿宋" w:hAnsi="仿宋" w:eastAsia="仿宋" w:cs="仿宋"/>
          <w:sz w:val="28"/>
          <w:szCs w:val="28"/>
        </w:rPr>
        <w:t>8、刹车系统为机械脚踏式刹车，稳固牢靠.</w:t>
      </w:r>
    </w:p>
    <w:p>
      <w:pPr>
        <w:rPr>
          <w:rFonts w:hint="eastAsia" w:ascii="仿宋" w:hAnsi="仿宋" w:eastAsia="仿宋" w:cs="仿宋"/>
          <w:sz w:val="28"/>
          <w:szCs w:val="28"/>
        </w:rPr>
      </w:pPr>
      <w:r>
        <w:rPr>
          <w:rFonts w:hint="eastAsia" w:ascii="仿宋" w:hAnsi="仿宋" w:eastAsia="仿宋" w:cs="仿宋"/>
          <w:sz w:val="28"/>
          <w:szCs w:val="28"/>
        </w:rPr>
        <w:t>9、底座配有静音防缠绕脚轮，移动轻便.</w:t>
      </w:r>
    </w:p>
    <w:p>
      <w:pPr>
        <w:rPr>
          <w:rFonts w:hint="eastAsia" w:ascii="仿宋" w:hAnsi="仿宋" w:eastAsia="仿宋" w:cs="仿宋"/>
          <w:sz w:val="28"/>
          <w:szCs w:val="28"/>
        </w:rPr>
      </w:pPr>
      <w:r>
        <w:rPr>
          <w:rFonts w:hint="eastAsia" w:ascii="仿宋" w:hAnsi="仿宋" w:eastAsia="仿宋" w:cs="仿宋"/>
          <w:sz w:val="28"/>
          <w:szCs w:val="28"/>
        </w:rPr>
        <w:t>10、采用优质不锈钢，包括立柱罩、侧轨和附件等。易清洁，抗污染；</w:t>
      </w:r>
    </w:p>
    <w:p>
      <w:pPr>
        <w:rPr>
          <w:rFonts w:hint="eastAsia" w:ascii="仿宋" w:hAnsi="仿宋" w:eastAsia="仿宋" w:cs="仿宋"/>
          <w:sz w:val="28"/>
          <w:szCs w:val="28"/>
        </w:rPr>
      </w:pPr>
      <w:r>
        <w:rPr>
          <w:rFonts w:hint="eastAsia" w:ascii="仿宋" w:hAnsi="仿宋" w:eastAsia="仿宋" w:cs="仿宋"/>
          <w:sz w:val="28"/>
          <w:szCs w:val="28"/>
        </w:rPr>
        <w:t>11、隐藏式污物盆，可拆卸，使用方便；</w:t>
      </w:r>
    </w:p>
    <w:p>
      <w:pPr>
        <w:rPr>
          <w:rFonts w:hint="eastAsia" w:ascii="仿宋" w:hAnsi="仿宋" w:eastAsia="仿宋" w:cs="仿宋"/>
          <w:sz w:val="28"/>
          <w:szCs w:val="28"/>
        </w:rPr>
      </w:pPr>
      <w:r>
        <w:rPr>
          <w:rFonts w:hint="eastAsia" w:ascii="仿宋" w:hAnsi="仿宋" w:eastAsia="仿宋" w:cs="仿宋"/>
          <w:sz w:val="28"/>
          <w:szCs w:val="28"/>
        </w:rPr>
        <w:t>12、一体式腿板，可回转可拆卸；</w:t>
      </w:r>
    </w:p>
    <w:p>
      <w:pPr>
        <w:rPr>
          <w:rFonts w:hint="eastAsia" w:ascii="仿宋" w:hAnsi="仿宋" w:eastAsia="仿宋" w:cs="仿宋"/>
          <w:sz w:val="28"/>
          <w:szCs w:val="28"/>
        </w:rPr>
      </w:pPr>
      <w:r>
        <w:rPr>
          <w:rFonts w:hint="eastAsia" w:ascii="仿宋" w:hAnsi="仿宋" w:eastAsia="仿宋" w:cs="仿宋"/>
          <w:sz w:val="28"/>
          <w:szCs w:val="28"/>
        </w:rPr>
        <w:t>13、床垫一次发泡成型，床面无缝设计，利于设备的清理和防护。</w:t>
      </w:r>
    </w:p>
    <w:p>
      <w:pPr>
        <w:rPr>
          <w:rFonts w:hint="eastAsia" w:ascii="仿宋" w:hAnsi="仿宋" w:eastAsia="仿宋" w:cs="仿宋"/>
          <w:sz w:val="28"/>
          <w:szCs w:val="28"/>
        </w:rPr>
      </w:pPr>
      <w:r>
        <w:rPr>
          <w:rFonts w:hint="eastAsia" w:ascii="仿宋" w:hAnsi="仿宋" w:eastAsia="仿宋" w:cs="仿宋"/>
          <w:sz w:val="28"/>
          <w:szCs w:val="28"/>
        </w:rPr>
        <w:t>14、具有产妇分娩、妇科手术、诊断、检查等多种医疗功能；</w:t>
      </w:r>
    </w:p>
    <w:p>
      <w:pPr>
        <w:rPr>
          <w:rFonts w:hint="eastAsia" w:ascii="仿宋" w:hAnsi="仿宋" w:eastAsia="仿宋" w:cs="仿宋"/>
          <w:sz w:val="28"/>
          <w:szCs w:val="28"/>
        </w:rPr>
      </w:pPr>
      <w:r>
        <w:rPr>
          <w:rFonts w:hint="eastAsia" w:ascii="仿宋" w:hAnsi="仿宋" w:eastAsia="仿宋" w:cs="仿宋"/>
          <w:sz w:val="28"/>
          <w:szCs w:val="28"/>
        </w:rPr>
        <w:t>16、配备脚踏开关，整体升降调整功能可由脚踏开关来控制完成.保证使用寿命长、性能稳定、噪音低、操作灵活方便。</w:t>
      </w:r>
    </w:p>
    <w:p>
      <w:pPr>
        <w:rPr>
          <w:rFonts w:hint="eastAsia" w:ascii="仿宋" w:hAnsi="仿宋" w:eastAsia="仿宋" w:cs="仿宋"/>
          <w:sz w:val="28"/>
          <w:szCs w:val="28"/>
        </w:rPr>
      </w:pPr>
      <w:r>
        <w:rPr>
          <w:rFonts w:hint="eastAsia" w:ascii="仿宋" w:hAnsi="仿宋" w:eastAsia="仿宋" w:cs="仿宋"/>
          <w:sz w:val="28"/>
          <w:szCs w:val="28"/>
        </w:rPr>
        <w:t>17、规格：</w:t>
      </w:r>
    </w:p>
    <w:p>
      <w:pPr>
        <w:rPr>
          <w:rFonts w:hint="eastAsia" w:ascii="仿宋" w:hAnsi="仿宋" w:eastAsia="仿宋" w:cs="仿宋"/>
          <w:sz w:val="28"/>
          <w:szCs w:val="28"/>
        </w:rPr>
      </w:pPr>
      <w:r>
        <w:rPr>
          <w:rFonts w:hint="eastAsia" w:ascii="仿宋" w:hAnsi="仿宋" w:eastAsia="仿宋" w:cs="仿宋"/>
          <w:sz w:val="28"/>
          <w:szCs w:val="28"/>
        </w:rPr>
        <w:t>长：1850mm±5% 宽：600mm±5%</w:t>
      </w:r>
    </w:p>
    <w:p>
      <w:pPr>
        <w:rPr>
          <w:rFonts w:hint="eastAsia" w:ascii="仿宋" w:hAnsi="仿宋" w:eastAsia="仿宋" w:cs="仿宋"/>
          <w:sz w:val="28"/>
          <w:szCs w:val="28"/>
        </w:rPr>
      </w:pPr>
      <w:r>
        <w:rPr>
          <w:rFonts w:hint="eastAsia" w:ascii="仿宋" w:hAnsi="仿宋" w:eastAsia="仿宋" w:cs="仿宋"/>
          <w:sz w:val="28"/>
          <w:szCs w:val="28"/>
        </w:rPr>
        <w:t>后倾：≥30° 前倾：≥30°</w:t>
      </w:r>
    </w:p>
    <w:p>
      <w:pPr>
        <w:rPr>
          <w:rFonts w:hint="eastAsia" w:ascii="仿宋" w:hAnsi="仿宋" w:eastAsia="仿宋" w:cs="仿宋"/>
          <w:sz w:val="28"/>
          <w:szCs w:val="28"/>
        </w:rPr>
      </w:pPr>
      <w:r>
        <w:rPr>
          <w:rFonts w:hint="eastAsia" w:ascii="仿宋" w:hAnsi="仿宋" w:eastAsia="仿宋" w:cs="仿宋"/>
          <w:sz w:val="28"/>
          <w:szCs w:val="28"/>
        </w:rPr>
        <w:t>背板上折：≥70°背板下折：≥15°</w:t>
      </w:r>
    </w:p>
    <w:p>
      <w:pPr>
        <w:rPr>
          <w:rFonts w:hint="eastAsia" w:ascii="仿宋" w:hAnsi="仿宋" w:eastAsia="仿宋" w:cs="仿宋"/>
          <w:sz w:val="28"/>
          <w:szCs w:val="28"/>
        </w:rPr>
      </w:pPr>
      <w:r>
        <w:rPr>
          <w:rFonts w:hint="eastAsia" w:ascii="仿宋" w:hAnsi="仿宋" w:eastAsia="仿宋" w:cs="仿宋"/>
          <w:sz w:val="28"/>
          <w:szCs w:val="28"/>
        </w:rPr>
        <w:t>台面最高 ：≥850mm</w:t>
      </w:r>
    </w:p>
    <w:p>
      <w:pPr>
        <w:rPr>
          <w:rFonts w:hint="eastAsia" w:ascii="仿宋" w:hAnsi="仿宋" w:eastAsia="仿宋" w:cs="仿宋"/>
          <w:sz w:val="28"/>
          <w:szCs w:val="28"/>
        </w:rPr>
      </w:pPr>
      <w:r>
        <w:rPr>
          <w:rFonts w:hint="eastAsia" w:ascii="仿宋" w:hAnsi="仿宋" w:eastAsia="仿宋" w:cs="仿宋"/>
          <w:sz w:val="28"/>
          <w:szCs w:val="28"/>
        </w:rPr>
        <w:t>台面最低：≥650mm</w:t>
      </w:r>
    </w:p>
    <w:p>
      <w:pPr>
        <w:rPr>
          <w:rFonts w:hint="eastAsia" w:ascii="仿宋" w:hAnsi="仿宋" w:eastAsia="仿宋" w:cs="仿宋"/>
          <w:sz w:val="28"/>
          <w:szCs w:val="28"/>
        </w:rPr>
      </w:pPr>
      <w:r>
        <w:rPr>
          <w:rFonts w:hint="eastAsia" w:ascii="仿宋" w:hAnsi="仿宋" w:eastAsia="仿宋" w:cs="仿宋"/>
          <w:sz w:val="28"/>
          <w:szCs w:val="28"/>
        </w:rPr>
        <w:t>18、产品配置：主体（含电机、床垫）</w:t>
      </w:r>
      <w:r>
        <w:rPr>
          <w:rFonts w:hint="eastAsia" w:ascii="仿宋" w:hAnsi="仿宋" w:eastAsia="仿宋" w:cs="仿宋"/>
          <w:sz w:val="28"/>
          <w:szCs w:val="28"/>
        </w:rPr>
        <w:tab/>
      </w:r>
      <w:r>
        <w:rPr>
          <w:rFonts w:hint="eastAsia" w:ascii="仿宋" w:hAnsi="仿宋" w:eastAsia="仿宋" w:cs="仿宋"/>
          <w:sz w:val="28"/>
          <w:szCs w:val="28"/>
        </w:rPr>
        <w:t>1套、臂托2个、腿托2个、把手2个、辅助台1个、污物盆1个、手控器1个、麻醉架1个、脚踏刹车1个</w:t>
      </w:r>
    </w:p>
    <w:p>
      <w:pPr>
        <w:ind w:firstLine="0" w:firstLineChars="0"/>
      </w:pPr>
      <w:r>
        <w:br w:type="page"/>
      </w:r>
    </w:p>
    <w:p>
      <w:pPr>
        <w:pStyle w:val="16"/>
      </w:pPr>
      <w:r>
        <w:rPr>
          <w:rFonts w:hint="eastAsia"/>
        </w:rPr>
        <w:t>无影灯技术参数</w:t>
      </w:r>
    </w:p>
    <w:p>
      <w:pPr>
        <w:rPr>
          <w:rFonts w:hint="eastAsia" w:ascii="仿宋" w:hAnsi="仿宋" w:eastAsia="仿宋" w:cs="仿宋"/>
          <w:sz w:val="28"/>
          <w:szCs w:val="28"/>
        </w:rPr>
      </w:pPr>
      <w:r>
        <w:rPr>
          <w:rFonts w:hint="eastAsia" w:ascii="仿宋" w:hAnsi="仿宋" w:eastAsia="仿宋" w:cs="仿宋"/>
          <w:sz w:val="28"/>
          <w:szCs w:val="28"/>
        </w:rPr>
        <w:t>1、高强度超薄灯头子母灯，灯头体外观专业设计，一体化设计。</w:t>
      </w:r>
    </w:p>
    <w:p>
      <w:pPr>
        <w:rPr>
          <w:rFonts w:hint="eastAsia" w:ascii="仿宋" w:hAnsi="仿宋" w:eastAsia="仿宋" w:cs="仿宋"/>
          <w:sz w:val="28"/>
          <w:szCs w:val="28"/>
        </w:rPr>
      </w:pPr>
      <w:r>
        <w:rPr>
          <w:rFonts w:hint="eastAsia" w:ascii="仿宋" w:hAnsi="仿宋" w:eastAsia="仿宋" w:cs="仿宋"/>
          <w:sz w:val="28"/>
          <w:szCs w:val="28"/>
        </w:rPr>
        <w:t>2、椭圆形吊管水平大臂。</w:t>
      </w:r>
    </w:p>
    <w:p>
      <w:pPr>
        <w:rPr>
          <w:rFonts w:hint="eastAsia" w:ascii="仿宋" w:hAnsi="仿宋" w:eastAsia="仿宋" w:cs="仿宋"/>
          <w:sz w:val="28"/>
          <w:szCs w:val="28"/>
        </w:rPr>
      </w:pPr>
      <w:r>
        <w:rPr>
          <w:rFonts w:hint="eastAsia" w:ascii="仿宋" w:hAnsi="仿宋" w:eastAsia="仿宋" w:cs="仿宋"/>
          <w:sz w:val="28"/>
          <w:szCs w:val="28"/>
        </w:rPr>
        <w:t xml:space="preserve">3、采用暖白色LED作为无影灯光源，环保、低能耗LED灯泡，灯泡寿命：≥60000小时。 </w:t>
      </w:r>
    </w:p>
    <w:p>
      <w:pPr>
        <w:rPr>
          <w:rFonts w:hint="eastAsia" w:ascii="仿宋" w:hAnsi="仿宋" w:eastAsia="仿宋" w:cs="仿宋"/>
          <w:sz w:val="28"/>
          <w:szCs w:val="28"/>
        </w:rPr>
      </w:pPr>
      <w:r>
        <w:rPr>
          <w:rFonts w:hint="eastAsia" w:ascii="仿宋" w:hAnsi="仿宋" w:eastAsia="仿宋" w:cs="仿宋"/>
          <w:sz w:val="28"/>
          <w:szCs w:val="28"/>
        </w:rPr>
        <w:t xml:space="preserve">4、独立的LED光源具有专门电路芯片控制。 </w:t>
      </w:r>
    </w:p>
    <w:p>
      <w:pPr>
        <w:rPr>
          <w:rFonts w:hint="eastAsia" w:ascii="仿宋" w:hAnsi="仿宋" w:eastAsia="仿宋" w:cs="仿宋"/>
          <w:sz w:val="28"/>
          <w:szCs w:val="28"/>
        </w:rPr>
      </w:pPr>
      <w:r>
        <w:rPr>
          <w:rFonts w:hint="eastAsia" w:ascii="仿宋" w:hAnsi="仿宋" w:eastAsia="仿宋" w:cs="仿宋"/>
          <w:sz w:val="28"/>
          <w:szCs w:val="28"/>
        </w:rPr>
        <w:t xml:space="preserve">5、无影灯控制面板薄按键控开关，具有记忆功能，即上次手术设置的亮度再次打开无影灯亮度不变。 </w:t>
      </w:r>
    </w:p>
    <w:p>
      <w:pPr>
        <w:rPr>
          <w:rFonts w:hint="eastAsia" w:ascii="仿宋" w:hAnsi="仿宋" w:eastAsia="仿宋" w:cs="仿宋"/>
          <w:sz w:val="28"/>
          <w:szCs w:val="28"/>
        </w:rPr>
      </w:pPr>
      <w:r>
        <w:rPr>
          <w:rFonts w:hint="eastAsia" w:ascii="仿宋" w:hAnsi="仿宋" w:eastAsia="仿宋" w:cs="仿宋"/>
          <w:sz w:val="28"/>
          <w:szCs w:val="28"/>
        </w:rPr>
        <w:t xml:space="preserve">6、光照可调节级数：无极调光，十段连续显示,调整范围0%-100%，具有背景灯照度：≥30Lux； </w:t>
      </w:r>
    </w:p>
    <w:p>
      <w:pPr>
        <w:rPr>
          <w:rFonts w:hint="eastAsia" w:ascii="仿宋" w:hAnsi="仿宋" w:eastAsia="仿宋" w:cs="仿宋"/>
          <w:sz w:val="28"/>
          <w:szCs w:val="28"/>
        </w:rPr>
      </w:pPr>
      <w:r>
        <w:rPr>
          <w:rFonts w:hint="eastAsia" w:ascii="仿宋" w:hAnsi="仿宋" w:eastAsia="仿宋" w:cs="仿宋"/>
          <w:sz w:val="28"/>
          <w:szCs w:val="28"/>
        </w:rPr>
        <w:t xml:space="preserve">7、采用抑制电磁波干扰设计，避免与手术室内其它设备产生相互的干扰。 </w:t>
      </w:r>
    </w:p>
    <w:p>
      <w:pPr>
        <w:rPr>
          <w:rFonts w:hint="eastAsia" w:ascii="仿宋" w:hAnsi="仿宋" w:eastAsia="仿宋" w:cs="仿宋"/>
          <w:sz w:val="28"/>
          <w:szCs w:val="28"/>
        </w:rPr>
      </w:pPr>
      <w:r>
        <w:rPr>
          <w:rFonts w:hint="eastAsia" w:ascii="仿宋" w:hAnsi="仿宋" w:eastAsia="仿宋" w:cs="仿宋"/>
          <w:sz w:val="28"/>
          <w:szCs w:val="28"/>
        </w:rPr>
        <w:t xml:space="preserve">8、采用椭圆形吊管设计，平衡圆臂系统、外面套方臂护罩，可以在多种复杂的手术室内安装4悬臂装置，也可根据医院的需要预留，方便医院将来升级和为医院日益增多的多媒体需求提供完美的解决方案。 </w:t>
      </w:r>
    </w:p>
    <w:p>
      <w:pPr>
        <w:rPr>
          <w:rFonts w:hint="eastAsia" w:ascii="仿宋" w:hAnsi="仿宋" w:eastAsia="仿宋" w:cs="仿宋"/>
          <w:sz w:val="28"/>
          <w:szCs w:val="28"/>
        </w:rPr>
      </w:pPr>
      <w:r>
        <w:rPr>
          <w:rFonts w:hint="eastAsia" w:ascii="仿宋" w:hAnsi="仿宋" w:eastAsia="仿宋" w:cs="仿宋"/>
          <w:sz w:val="28"/>
          <w:szCs w:val="28"/>
        </w:rPr>
        <w:t>9、平衡系统采用合金大臂组件，大于五组万象关节联动，每一个悬臂必须有≥3个关节可360°旋转,平衡圆臂系统,外面套方臂护罩,具备疲劳校正装置和定位手感调节装置，常时间使用后便于定位调校。</w:t>
      </w:r>
    </w:p>
    <w:p>
      <w:pPr>
        <w:rPr>
          <w:rFonts w:hint="eastAsia" w:ascii="仿宋" w:hAnsi="仿宋" w:eastAsia="仿宋" w:cs="仿宋"/>
          <w:sz w:val="28"/>
          <w:szCs w:val="28"/>
        </w:rPr>
      </w:pPr>
      <w:r>
        <w:rPr>
          <w:rFonts w:hint="eastAsia" w:ascii="仿宋" w:hAnsi="仿宋" w:eastAsia="仿宋" w:cs="仿宋"/>
          <w:sz w:val="28"/>
          <w:szCs w:val="28"/>
        </w:rPr>
        <w:t xml:space="preserve">10、灯头中置手柄可拆卸，耐高温高压消毒，方便调节、灵活定位；具有大小C臂结合处控制面板，具备亮度提示提示功能，配备有环境照明模式（腔镜模式）； </w:t>
      </w:r>
    </w:p>
    <w:p>
      <w:pPr>
        <w:rPr>
          <w:rFonts w:hint="eastAsia" w:ascii="仿宋" w:hAnsi="仿宋" w:eastAsia="仿宋" w:cs="仿宋"/>
          <w:sz w:val="28"/>
          <w:szCs w:val="28"/>
        </w:rPr>
      </w:pPr>
      <w:r>
        <w:rPr>
          <w:rFonts w:hint="eastAsia" w:ascii="仿宋" w:hAnsi="仿宋" w:eastAsia="仿宋" w:cs="仿宋"/>
          <w:sz w:val="28"/>
          <w:szCs w:val="28"/>
        </w:rPr>
        <w:t xml:space="preserve">11、灯盘回转半径：≥182cm，灯头可下拉近垂直地面，方便各种角度的照明。灯头周边一体化ABS操作拉手和中置操作手柄，方便操作。 </w:t>
      </w:r>
    </w:p>
    <w:p>
      <w:pPr>
        <w:rPr>
          <w:rFonts w:hint="eastAsia" w:ascii="仿宋" w:hAnsi="仿宋" w:eastAsia="仿宋" w:cs="仿宋"/>
          <w:sz w:val="28"/>
          <w:szCs w:val="28"/>
        </w:rPr>
      </w:pPr>
      <w:r>
        <w:rPr>
          <w:rFonts w:hint="eastAsia" w:ascii="仿宋" w:hAnsi="仿宋" w:eastAsia="仿宋" w:cs="仿宋"/>
          <w:sz w:val="28"/>
          <w:szCs w:val="28"/>
        </w:rPr>
        <w:t>12、灯头直径（MM)</w:t>
      </w:r>
      <w:r>
        <w:rPr>
          <w:rFonts w:hint="eastAsia" w:ascii="仿宋" w:hAnsi="仿宋" w:eastAsia="仿宋" w:cs="仿宋"/>
          <w:sz w:val="28"/>
          <w:szCs w:val="28"/>
        </w:rPr>
        <w:tab/>
      </w:r>
      <w:r>
        <w:rPr>
          <w:rFonts w:hint="eastAsia" w:ascii="仿宋" w:hAnsi="仿宋" w:eastAsia="仿宋" w:cs="仿宋"/>
          <w:sz w:val="28"/>
          <w:szCs w:val="28"/>
        </w:rPr>
        <w:t>母灯≥700               子灯≥500</w:t>
      </w:r>
    </w:p>
    <w:p>
      <w:pPr>
        <w:rPr>
          <w:rFonts w:hint="eastAsia" w:ascii="仿宋" w:hAnsi="仿宋" w:eastAsia="仿宋" w:cs="仿宋"/>
          <w:sz w:val="28"/>
          <w:szCs w:val="28"/>
        </w:rPr>
      </w:pPr>
      <w:r>
        <w:rPr>
          <w:rFonts w:hint="eastAsia" w:ascii="仿宋" w:hAnsi="仿宋" w:eastAsia="仿宋" w:cs="仿宋"/>
          <w:sz w:val="28"/>
          <w:szCs w:val="28"/>
        </w:rPr>
        <w:t>灯珠数量：母灯≥80个                    子灯≥48个</w:t>
      </w:r>
    </w:p>
    <w:p>
      <w:pPr>
        <w:rPr>
          <w:rFonts w:hint="eastAsia" w:ascii="仿宋" w:hAnsi="仿宋" w:eastAsia="仿宋" w:cs="仿宋"/>
          <w:sz w:val="28"/>
          <w:szCs w:val="28"/>
        </w:rPr>
      </w:pPr>
      <w:r>
        <w:rPr>
          <w:rFonts w:hint="eastAsia" w:ascii="仿宋" w:hAnsi="仿宋" w:eastAsia="仿宋" w:cs="仿宋"/>
          <w:sz w:val="28"/>
          <w:szCs w:val="28"/>
        </w:rPr>
        <w:t>照度（相距1M处LUX)</w:t>
      </w:r>
      <w:r>
        <w:rPr>
          <w:rFonts w:hint="eastAsia" w:ascii="仿宋" w:hAnsi="仿宋" w:eastAsia="仿宋" w:cs="仿宋"/>
          <w:sz w:val="28"/>
          <w:szCs w:val="28"/>
        </w:rPr>
        <w:tab/>
      </w:r>
      <w:r>
        <w:rPr>
          <w:rFonts w:hint="eastAsia" w:ascii="仿宋" w:hAnsi="仿宋" w:eastAsia="仿宋" w:cs="仿宋"/>
          <w:sz w:val="28"/>
          <w:szCs w:val="28"/>
        </w:rPr>
        <w:t>40000-160000     40000-160000</w:t>
      </w:r>
    </w:p>
    <w:p>
      <w:pPr>
        <w:rPr>
          <w:rFonts w:hint="eastAsia" w:ascii="仿宋" w:hAnsi="仿宋" w:eastAsia="仿宋" w:cs="仿宋"/>
          <w:sz w:val="28"/>
          <w:szCs w:val="28"/>
        </w:rPr>
      </w:pPr>
      <w:r>
        <w:rPr>
          <w:rFonts w:hint="eastAsia" w:ascii="仿宋" w:hAnsi="仿宋" w:eastAsia="仿宋" w:cs="仿宋"/>
          <w:sz w:val="28"/>
          <w:szCs w:val="28"/>
        </w:rPr>
        <w:t>色温K</w:t>
      </w:r>
      <w:r>
        <w:rPr>
          <w:rFonts w:hint="eastAsia" w:ascii="仿宋" w:hAnsi="仿宋" w:eastAsia="仿宋" w:cs="仿宋"/>
          <w:sz w:val="28"/>
          <w:szCs w:val="28"/>
        </w:rPr>
        <w:tab/>
      </w:r>
      <w:r>
        <w:rPr>
          <w:rFonts w:hint="eastAsia" w:ascii="仿宋" w:hAnsi="仿宋" w:eastAsia="仿宋" w:cs="仿宋"/>
          <w:sz w:val="28"/>
          <w:szCs w:val="28"/>
        </w:rPr>
        <w:t>4300±500</w:t>
      </w:r>
    </w:p>
    <w:p>
      <w:pPr>
        <w:rPr>
          <w:rFonts w:hint="eastAsia" w:ascii="仿宋" w:hAnsi="仿宋" w:eastAsia="仿宋" w:cs="仿宋"/>
          <w:sz w:val="28"/>
          <w:szCs w:val="28"/>
        </w:rPr>
      </w:pPr>
      <w:r>
        <w:rPr>
          <w:rFonts w:hint="eastAsia" w:ascii="仿宋" w:hAnsi="仿宋" w:eastAsia="仿宋" w:cs="仿宋"/>
          <w:sz w:val="28"/>
          <w:szCs w:val="28"/>
        </w:rPr>
        <w:t>光斑直径MM</w:t>
      </w:r>
      <w:r>
        <w:rPr>
          <w:rFonts w:hint="eastAsia" w:ascii="仿宋" w:hAnsi="仿宋" w:eastAsia="仿宋" w:cs="仿宋"/>
          <w:sz w:val="28"/>
          <w:szCs w:val="28"/>
        </w:rPr>
        <w:tab/>
      </w:r>
      <w:r>
        <w:rPr>
          <w:rFonts w:hint="eastAsia" w:ascii="仿宋" w:hAnsi="仿宋" w:eastAsia="仿宋" w:cs="仿宋"/>
          <w:sz w:val="28"/>
          <w:szCs w:val="28"/>
        </w:rPr>
        <w:t>100-300</w:t>
      </w:r>
    </w:p>
    <w:p>
      <w:pPr>
        <w:rPr>
          <w:rFonts w:hint="eastAsia" w:ascii="仿宋" w:hAnsi="仿宋" w:eastAsia="仿宋" w:cs="仿宋"/>
          <w:sz w:val="28"/>
          <w:szCs w:val="28"/>
        </w:rPr>
      </w:pPr>
      <w:r>
        <w:rPr>
          <w:rFonts w:hint="eastAsia" w:ascii="仿宋" w:hAnsi="仿宋" w:eastAsia="仿宋" w:cs="仿宋"/>
          <w:sz w:val="28"/>
          <w:szCs w:val="28"/>
        </w:rPr>
        <w:t>照明深度MM</w:t>
      </w:r>
      <w:r>
        <w:rPr>
          <w:rFonts w:hint="eastAsia" w:ascii="仿宋" w:hAnsi="仿宋" w:eastAsia="仿宋" w:cs="仿宋"/>
          <w:sz w:val="28"/>
          <w:szCs w:val="28"/>
        </w:rPr>
        <w:tab/>
      </w:r>
      <w:r>
        <w:rPr>
          <w:rFonts w:hint="eastAsia" w:ascii="仿宋" w:hAnsi="仿宋" w:eastAsia="仿宋" w:cs="仿宋"/>
          <w:sz w:val="28"/>
          <w:szCs w:val="28"/>
        </w:rPr>
        <w:t>≥1200</w:t>
      </w:r>
    </w:p>
    <w:p>
      <w:pPr>
        <w:rPr>
          <w:rFonts w:hint="eastAsia" w:ascii="仿宋" w:hAnsi="仿宋" w:eastAsia="仿宋" w:cs="仿宋"/>
          <w:sz w:val="28"/>
          <w:szCs w:val="28"/>
        </w:rPr>
      </w:pPr>
      <w:r>
        <w:rPr>
          <w:rFonts w:hint="eastAsia" w:ascii="仿宋" w:hAnsi="仿宋" w:eastAsia="仿宋" w:cs="仿宋"/>
          <w:sz w:val="28"/>
          <w:szCs w:val="28"/>
        </w:rPr>
        <w:t>亮度调节</w:t>
      </w:r>
      <w:r>
        <w:rPr>
          <w:rFonts w:hint="eastAsia" w:ascii="仿宋" w:hAnsi="仿宋" w:eastAsia="仿宋" w:cs="仿宋"/>
          <w:sz w:val="28"/>
          <w:szCs w:val="28"/>
        </w:rPr>
        <w:tab/>
      </w:r>
      <w:r>
        <w:rPr>
          <w:rFonts w:hint="eastAsia" w:ascii="仿宋" w:hAnsi="仿宋" w:eastAsia="仿宋" w:cs="仿宋"/>
          <w:sz w:val="28"/>
          <w:szCs w:val="28"/>
        </w:rPr>
        <w:t>1-100</w:t>
      </w:r>
    </w:p>
    <w:p>
      <w:pPr>
        <w:rPr>
          <w:rFonts w:hint="eastAsia" w:ascii="仿宋" w:hAnsi="仿宋" w:eastAsia="仿宋" w:cs="仿宋"/>
          <w:sz w:val="28"/>
          <w:szCs w:val="28"/>
        </w:rPr>
      </w:pPr>
      <w:r>
        <w:rPr>
          <w:rFonts w:hint="eastAsia" w:ascii="仿宋" w:hAnsi="仿宋" w:eastAsia="仿宋" w:cs="仿宋"/>
          <w:sz w:val="28"/>
          <w:szCs w:val="28"/>
        </w:rPr>
        <w:t>演色性指数CRI</w:t>
      </w:r>
      <w:r>
        <w:rPr>
          <w:rFonts w:hint="eastAsia" w:ascii="仿宋" w:hAnsi="仿宋" w:eastAsia="仿宋" w:cs="仿宋"/>
          <w:sz w:val="28"/>
          <w:szCs w:val="28"/>
        </w:rPr>
        <w:tab/>
      </w:r>
      <w:r>
        <w:rPr>
          <w:rFonts w:hint="eastAsia" w:ascii="仿宋" w:hAnsi="仿宋" w:eastAsia="仿宋" w:cs="仿宋"/>
          <w:sz w:val="28"/>
          <w:szCs w:val="28"/>
        </w:rPr>
        <w:t>≥97%</w:t>
      </w:r>
    </w:p>
    <w:p>
      <w:pPr>
        <w:rPr>
          <w:rFonts w:hint="eastAsia" w:ascii="仿宋" w:hAnsi="仿宋" w:eastAsia="仿宋" w:cs="仿宋"/>
          <w:sz w:val="28"/>
          <w:szCs w:val="28"/>
        </w:rPr>
      </w:pPr>
      <w:r>
        <w:rPr>
          <w:rFonts w:hint="eastAsia" w:ascii="仿宋" w:hAnsi="仿宋" w:eastAsia="仿宋" w:cs="仿宋"/>
          <w:sz w:val="28"/>
          <w:szCs w:val="28"/>
        </w:rPr>
        <w:t>色彩还原指数RA</w:t>
      </w:r>
      <w:r>
        <w:rPr>
          <w:rFonts w:hint="eastAsia" w:ascii="仿宋" w:hAnsi="仿宋" w:eastAsia="仿宋" w:cs="仿宋"/>
          <w:sz w:val="28"/>
          <w:szCs w:val="28"/>
        </w:rPr>
        <w:tab/>
      </w:r>
      <w:r>
        <w:rPr>
          <w:rFonts w:hint="eastAsia" w:ascii="仿宋" w:hAnsi="仿宋" w:eastAsia="仿宋" w:cs="仿宋"/>
          <w:sz w:val="28"/>
          <w:szCs w:val="28"/>
        </w:rPr>
        <w:t>≥97%</w:t>
      </w:r>
    </w:p>
    <w:p>
      <w:pPr>
        <w:rPr>
          <w:rFonts w:hint="eastAsia" w:ascii="仿宋" w:hAnsi="仿宋" w:eastAsia="仿宋" w:cs="仿宋"/>
          <w:sz w:val="28"/>
          <w:szCs w:val="28"/>
        </w:rPr>
      </w:pPr>
      <w:r>
        <w:rPr>
          <w:rFonts w:hint="eastAsia" w:ascii="仿宋" w:hAnsi="仿宋" w:eastAsia="仿宋" w:cs="仿宋"/>
          <w:sz w:val="28"/>
          <w:szCs w:val="28"/>
        </w:rPr>
        <w:t>术者头部温升</w:t>
      </w:r>
      <w:r>
        <w:rPr>
          <w:rFonts w:hint="eastAsia" w:ascii="仿宋" w:hAnsi="仿宋" w:eastAsia="仿宋" w:cs="仿宋"/>
          <w:sz w:val="28"/>
          <w:szCs w:val="28"/>
        </w:rPr>
        <w:tab/>
      </w:r>
      <w:r>
        <w:rPr>
          <w:rFonts w:hint="eastAsia" w:ascii="仿宋" w:hAnsi="仿宋" w:eastAsia="仿宋" w:cs="仿宋"/>
          <w:sz w:val="28"/>
          <w:szCs w:val="28"/>
        </w:rPr>
        <w:t>≤1℃</w:t>
      </w:r>
    </w:p>
    <w:p>
      <w:pPr>
        <w:rPr>
          <w:rFonts w:hint="eastAsia" w:ascii="仿宋" w:hAnsi="仿宋" w:eastAsia="仿宋" w:cs="仿宋"/>
          <w:sz w:val="28"/>
          <w:szCs w:val="28"/>
        </w:rPr>
      </w:pPr>
      <w:r>
        <w:rPr>
          <w:rFonts w:hint="eastAsia" w:ascii="仿宋" w:hAnsi="仿宋" w:eastAsia="仿宋" w:cs="仿宋"/>
          <w:sz w:val="28"/>
          <w:szCs w:val="28"/>
        </w:rPr>
        <w:t>术野工作区域温升</w:t>
      </w:r>
      <w:r>
        <w:rPr>
          <w:rFonts w:hint="eastAsia" w:ascii="仿宋" w:hAnsi="仿宋" w:eastAsia="仿宋" w:cs="仿宋"/>
          <w:sz w:val="28"/>
          <w:szCs w:val="28"/>
        </w:rPr>
        <w:tab/>
      </w:r>
      <w:r>
        <w:rPr>
          <w:rFonts w:hint="eastAsia" w:ascii="仿宋" w:hAnsi="仿宋" w:eastAsia="仿宋" w:cs="仿宋"/>
          <w:sz w:val="28"/>
          <w:szCs w:val="28"/>
        </w:rPr>
        <w:t>≤2℃</w:t>
      </w:r>
    </w:p>
    <w:p>
      <w:pPr>
        <w:rPr>
          <w:rFonts w:hint="eastAsia" w:ascii="仿宋" w:hAnsi="仿宋" w:eastAsia="仿宋" w:cs="仿宋"/>
          <w:sz w:val="28"/>
          <w:szCs w:val="28"/>
        </w:rPr>
      </w:pPr>
      <w:r>
        <w:rPr>
          <w:rFonts w:hint="eastAsia" w:ascii="仿宋" w:hAnsi="仿宋" w:eastAsia="仿宋" w:cs="仿宋"/>
          <w:sz w:val="28"/>
          <w:szCs w:val="28"/>
        </w:rPr>
        <w:t>操作半径</w:t>
      </w:r>
      <w:r>
        <w:rPr>
          <w:rFonts w:hint="eastAsia" w:ascii="仿宋" w:hAnsi="仿宋" w:eastAsia="仿宋" w:cs="仿宋"/>
          <w:sz w:val="28"/>
          <w:szCs w:val="28"/>
        </w:rPr>
        <w:tab/>
      </w:r>
      <w:r>
        <w:rPr>
          <w:rFonts w:hint="eastAsia" w:ascii="仿宋" w:hAnsi="仿宋" w:eastAsia="仿宋" w:cs="仿宋"/>
          <w:sz w:val="28"/>
          <w:szCs w:val="28"/>
        </w:rPr>
        <w:t>≥2200MM</w:t>
      </w:r>
    </w:p>
    <w:p>
      <w:pPr>
        <w:rPr>
          <w:rFonts w:hint="eastAsia" w:ascii="仿宋" w:hAnsi="仿宋" w:eastAsia="仿宋" w:cs="仿宋"/>
          <w:sz w:val="28"/>
          <w:szCs w:val="28"/>
        </w:rPr>
      </w:pPr>
      <w:r>
        <w:rPr>
          <w:rFonts w:hint="eastAsia" w:ascii="仿宋" w:hAnsi="仿宋" w:eastAsia="仿宋" w:cs="仿宋"/>
          <w:sz w:val="28"/>
          <w:szCs w:val="28"/>
        </w:rPr>
        <w:t>工作半径</w:t>
      </w:r>
      <w:r>
        <w:rPr>
          <w:rFonts w:hint="eastAsia" w:ascii="仿宋" w:hAnsi="仿宋" w:eastAsia="仿宋" w:cs="仿宋"/>
          <w:sz w:val="28"/>
          <w:szCs w:val="28"/>
        </w:rPr>
        <w:tab/>
      </w:r>
      <w:r>
        <w:rPr>
          <w:rFonts w:hint="eastAsia" w:ascii="仿宋" w:hAnsi="仿宋" w:eastAsia="仿宋" w:cs="仿宋"/>
          <w:sz w:val="28"/>
          <w:szCs w:val="28"/>
        </w:rPr>
        <w:t>600-1800MM</w:t>
      </w:r>
    </w:p>
    <w:p>
      <w:pPr>
        <w:rPr>
          <w:rFonts w:hint="eastAsia" w:ascii="仿宋" w:hAnsi="仿宋" w:eastAsia="仿宋" w:cs="仿宋"/>
          <w:sz w:val="28"/>
          <w:szCs w:val="28"/>
        </w:rPr>
      </w:pPr>
      <w:r>
        <w:rPr>
          <w:rFonts w:hint="eastAsia" w:ascii="仿宋" w:hAnsi="仿宋" w:eastAsia="仿宋" w:cs="仿宋"/>
          <w:sz w:val="28"/>
          <w:szCs w:val="28"/>
        </w:rPr>
        <w:t>灯泡平均寿命</w:t>
      </w:r>
      <w:r>
        <w:rPr>
          <w:rFonts w:hint="eastAsia" w:ascii="仿宋" w:hAnsi="仿宋" w:eastAsia="仿宋" w:cs="仿宋"/>
          <w:sz w:val="28"/>
          <w:szCs w:val="28"/>
        </w:rPr>
        <w:tab/>
      </w:r>
      <w:r>
        <w:rPr>
          <w:rFonts w:hint="eastAsia" w:ascii="仿宋" w:hAnsi="仿宋" w:eastAsia="仿宋" w:cs="仿宋"/>
          <w:sz w:val="28"/>
          <w:szCs w:val="28"/>
        </w:rPr>
        <w:t>≥60000小时</w:t>
      </w:r>
    </w:p>
    <w:p/>
    <w:p/>
    <w:p>
      <w:pPr>
        <w:ind w:firstLine="0" w:firstLineChars="0"/>
      </w:pPr>
      <w:r>
        <w:br w:type="page"/>
      </w:r>
    </w:p>
    <w:p>
      <w:pPr>
        <w:pStyle w:val="16"/>
      </w:pPr>
      <w:r>
        <w:rPr>
          <w:rFonts w:hint="eastAsia"/>
        </w:rPr>
        <w:t>空气消毒机（可移动柜机）技术参数</w:t>
      </w:r>
    </w:p>
    <w:p/>
    <w:p>
      <w:pPr>
        <w:rPr>
          <w:rFonts w:hint="eastAsia" w:ascii="仿宋" w:hAnsi="仿宋" w:eastAsia="仿宋" w:cs="仿宋"/>
          <w:sz w:val="28"/>
          <w:szCs w:val="28"/>
        </w:rPr>
      </w:pPr>
      <w:r>
        <w:rPr>
          <w:rFonts w:hint="eastAsia" w:ascii="仿宋" w:hAnsi="仿宋" w:eastAsia="仿宋" w:cs="仿宋"/>
          <w:sz w:val="28"/>
          <w:szCs w:val="28"/>
        </w:rPr>
        <w:t>1、消毒原理：物理过滤方式协同紫外线进行消毒；</w:t>
      </w:r>
    </w:p>
    <w:p>
      <w:pPr>
        <w:rPr>
          <w:rFonts w:hint="eastAsia" w:ascii="仿宋" w:hAnsi="仿宋" w:eastAsia="仿宋" w:cs="仿宋"/>
          <w:sz w:val="28"/>
          <w:szCs w:val="28"/>
        </w:rPr>
      </w:pPr>
      <w:r>
        <w:rPr>
          <w:rFonts w:hint="eastAsia" w:ascii="仿宋" w:hAnsi="仿宋" w:eastAsia="仿宋" w:cs="仿宋"/>
          <w:sz w:val="28"/>
          <w:szCs w:val="28"/>
        </w:rPr>
        <w:t>2、机壳造型美观，表面平整光滑易清洁，采用抗紫外ABS工程塑料制成，具有不易发黄发脆等优点；</w:t>
      </w:r>
    </w:p>
    <w:p>
      <w:pPr>
        <w:rPr>
          <w:rFonts w:hint="eastAsia" w:ascii="仿宋" w:hAnsi="仿宋" w:eastAsia="仿宋" w:cs="仿宋"/>
          <w:sz w:val="28"/>
          <w:szCs w:val="28"/>
        </w:rPr>
      </w:pPr>
      <w:r>
        <w:rPr>
          <w:rFonts w:hint="eastAsia" w:ascii="仿宋" w:hAnsi="仿宋" w:eastAsia="仿宋" w:cs="仿宋"/>
          <w:sz w:val="28"/>
          <w:szCs w:val="28"/>
        </w:rPr>
        <w:t>3、最大消毒体积：≥100m3</w:t>
      </w:r>
    </w:p>
    <w:p>
      <w:pPr>
        <w:rPr>
          <w:rFonts w:hint="eastAsia" w:ascii="仿宋" w:hAnsi="仿宋" w:eastAsia="仿宋" w:cs="仿宋"/>
          <w:sz w:val="28"/>
          <w:szCs w:val="28"/>
        </w:rPr>
      </w:pPr>
      <w:r>
        <w:rPr>
          <w:rFonts w:hint="eastAsia" w:ascii="仿宋" w:hAnsi="仿宋" w:eastAsia="仿宋" w:cs="仿宋"/>
          <w:sz w:val="28"/>
          <w:szCs w:val="28"/>
        </w:rPr>
        <w:t>4、消毒效果：对白色葡萄球菌（8032）的杀灭率≥99.9%，对空气中自然菌的消亡率≥90.00%；</w:t>
      </w:r>
    </w:p>
    <w:p>
      <w:pPr>
        <w:rPr>
          <w:rFonts w:hint="eastAsia" w:ascii="仿宋" w:hAnsi="仿宋" w:eastAsia="仿宋" w:cs="仿宋"/>
          <w:sz w:val="28"/>
          <w:szCs w:val="28"/>
        </w:rPr>
      </w:pPr>
      <w:r>
        <w:rPr>
          <w:rFonts w:hint="eastAsia" w:ascii="仿宋" w:hAnsi="仿宋" w:eastAsia="仿宋" w:cs="仿宋"/>
          <w:sz w:val="28"/>
          <w:szCs w:val="28"/>
        </w:rPr>
        <w:t>5、消毒方式：长寿命、高强度紫外线循环风消毒，负氧离子清新空气，人机共存，动态持续消毒，消毒时无味、无辐射，不腐蚀设备；</w:t>
      </w:r>
    </w:p>
    <w:p>
      <w:pPr>
        <w:rPr>
          <w:rFonts w:hint="eastAsia" w:ascii="仿宋" w:hAnsi="仿宋" w:eastAsia="仿宋" w:cs="仿宋"/>
          <w:sz w:val="28"/>
          <w:szCs w:val="28"/>
        </w:rPr>
      </w:pPr>
      <w:r>
        <w:rPr>
          <w:rFonts w:hint="eastAsia" w:ascii="仿宋" w:hAnsi="仿宋" w:eastAsia="仿宋" w:cs="仿宋"/>
          <w:sz w:val="28"/>
          <w:szCs w:val="28"/>
        </w:rPr>
        <w:t>6、机外紫外线泄漏≤0.1uw/cm2,空气中的臭氧量≤0.002mg/m3</w:t>
      </w:r>
    </w:p>
    <w:p>
      <w:pPr>
        <w:rPr>
          <w:rFonts w:hint="eastAsia" w:ascii="仿宋" w:hAnsi="仿宋" w:eastAsia="仿宋" w:cs="仿宋"/>
          <w:sz w:val="28"/>
          <w:szCs w:val="28"/>
        </w:rPr>
      </w:pPr>
      <w:r>
        <w:rPr>
          <w:rFonts w:hint="eastAsia" w:ascii="仿宋" w:hAnsi="仿宋" w:eastAsia="仿宋" w:cs="仿宋"/>
          <w:sz w:val="28"/>
          <w:szCs w:val="28"/>
        </w:rPr>
        <w:t>7、灯管寿命≥5000（h），机内紫外线辐射强度≥5000*4uw/cm2，负氧离子释放量≥6*106个/cm3；</w:t>
      </w:r>
    </w:p>
    <w:p>
      <w:pPr>
        <w:rPr>
          <w:rFonts w:hint="eastAsia" w:ascii="仿宋" w:hAnsi="仿宋" w:eastAsia="仿宋" w:cs="仿宋"/>
          <w:sz w:val="28"/>
          <w:szCs w:val="28"/>
        </w:rPr>
      </w:pPr>
      <w:r>
        <w:rPr>
          <w:rFonts w:hint="eastAsia" w:ascii="仿宋" w:hAnsi="仿宋" w:eastAsia="仿宋" w:cs="仿宋"/>
          <w:sz w:val="28"/>
          <w:szCs w:val="28"/>
        </w:rPr>
        <w:t>8、风速高中低可调；风向多角度可调，循环风量≥1000m3/h</w:t>
      </w:r>
    </w:p>
    <w:p>
      <w:pPr>
        <w:rPr>
          <w:rFonts w:hint="eastAsia" w:ascii="仿宋" w:hAnsi="仿宋" w:eastAsia="仿宋" w:cs="仿宋"/>
          <w:sz w:val="28"/>
          <w:szCs w:val="28"/>
        </w:rPr>
      </w:pPr>
      <w:r>
        <w:rPr>
          <w:rFonts w:hint="eastAsia" w:ascii="仿宋" w:hAnsi="仿宋" w:eastAsia="仿宋" w:cs="仿宋"/>
          <w:sz w:val="28"/>
          <w:szCs w:val="28"/>
        </w:rPr>
        <w:t>9、机器自带紫外线故障检测功能和紫外线强度显示功能，灯管损坏时自动提醒，</w:t>
      </w:r>
    </w:p>
    <w:p>
      <w:pPr>
        <w:rPr>
          <w:rFonts w:hint="eastAsia" w:ascii="仿宋" w:hAnsi="仿宋" w:eastAsia="仿宋" w:cs="仿宋"/>
          <w:sz w:val="28"/>
          <w:szCs w:val="28"/>
        </w:rPr>
      </w:pPr>
      <w:r>
        <w:rPr>
          <w:rFonts w:hint="eastAsia" w:ascii="仿宋" w:hAnsi="仿宋" w:eastAsia="仿宋" w:cs="仿宋"/>
          <w:sz w:val="28"/>
          <w:szCs w:val="28"/>
        </w:rPr>
        <w:t>10、超静音轴流风机与合理的风道设计相结合，整机噪声≤45dB；</w:t>
      </w:r>
    </w:p>
    <w:p>
      <w:pPr>
        <w:rPr>
          <w:rFonts w:hint="eastAsia" w:ascii="仿宋" w:hAnsi="仿宋" w:eastAsia="仿宋" w:cs="仿宋"/>
          <w:sz w:val="28"/>
          <w:szCs w:val="28"/>
        </w:rPr>
      </w:pPr>
      <w:r>
        <w:rPr>
          <w:rFonts w:hint="eastAsia" w:ascii="仿宋" w:hAnsi="仿宋" w:eastAsia="仿宋" w:cs="仿宋"/>
          <w:sz w:val="28"/>
          <w:szCs w:val="28"/>
        </w:rPr>
        <w:t>11、机器微电脑程控自动运行，有三种消毒模式可供选择；一、手动常开消毒模式；二、手动定时消毒模式；三、程控定时自动消毒模式；（可预设6个时段，最短开、关机时间为30分钟）</w:t>
      </w:r>
    </w:p>
    <w:p>
      <w:pPr>
        <w:rPr>
          <w:rFonts w:hint="eastAsia" w:ascii="仿宋" w:hAnsi="仿宋" w:eastAsia="仿宋" w:cs="仿宋"/>
          <w:sz w:val="28"/>
          <w:szCs w:val="28"/>
        </w:rPr>
      </w:pPr>
      <w:r>
        <w:rPr>
          <w:rFonts w:hint="eastAsia" w:ascii="仿宋" w:hAnsi="仿宋" w:eastAsia="仿宋" w:cs="仿宋"/>
          <w:sz w:val="28"/>
          <w:szCs w:val="28"/>
        </w:rPr>
        <w:t>12、大屏幕显示屏，可显示工作状态、时钟、时段和报警提醒，用户使用可一目了然，机器触摸操作屏及遥控器都可对机器进行操作及设置；</w:t>
      </w:r>
    </w:p>
    <w:p>
      <w:pPr>
        <w:rPr>
          <w:rFonts w:hint="eastAsia" w:ascii="仿宋" w:hAnsi="仿宋" w:eastAsia="仿宋" w:cs="仿宋"/>
          <w:sz w:val="28"/>
          <w:szCs w:val="28"/>
        </w:rPr>
      </w:pPr>
      <w:r>
        <w:rPr>
          <w:rFonts w:hint="eastAsia" w:ascii="仿宋" w:hAnsi="仿宋" w:eastAsia="仿宋" w:cs="仿宋"/>
          <w:sz w:val="28"/>
          <w:szCs w:val="28"/>
        </w:rPr>
        <w:t>13、累计工作时间自动记录，累计时间功能分为灯管累时和滤网累时；</w:t>
      </w:r>
    </w:p>
    <w:p>
      <w:pPr>
        <w:rPr>
          <w:rFonts w:hint="eastAsia" w:ascii="仿宋" w:hAnsi="仿宋" w:eastAsia="仿宋" w:cs="仿宋"/>
          <w:sz w:val="28"/>
          <w:szCs w:val="28"/>
          <w:lang w:eastAsia="zh-CN"/>
        </w:rPr>
      </w:pPr>
      <w:r>
        <w:rPr>
          <w:rFonts w:hint="eastAsia" w:ascii="仿宋" w:hAnsi="仿宋" w:eastAsia="仿宋" w:cs="仿宋"/>
          <w:sz w:val="28"/>
          <w:szCs w:val="28"/>
        </w:rPr>
        <w:t>14、推拉式手柄，配置四个医用静音脚轮使整机灵活移动</w:t>
      </w:r>
      <w:r>
        <w:rPr>
          <w:rFonts w:hint="eastAsia" w:ascii="仿宋" w:hAnsi="仿宋" w:eastAsia="仿宋" w:cs="仿宋"/>
          <w:sz w:val="28"/>
          <w:szCs w:val="28"/>
          <w:lang w:eastAsia="zh-CN"/>
        </w:rPr>
        <w:t>。</w:t>
      </w:r>
    </w:p>
    <w:p>
      <w:pPr>
        <w:pStyle w:val="3"/>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二</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商务要求</w:t>
      </w:r>
    </w:p>
    <w:p>
      <w:pPr>
        <w:rPr>
          <w:rFonts w:hint="eastAsia" w:ascii="仿宋" w:hAnsi="仿宋" w:eastAsia="仿宋" w:cs="仿宋"/>
          <w:sz w:val="28"/>
          <w:szCs w:val="28"/>
        </w:rPr>
      </w:pPr>
      <w:r>
        <w:rPr>
          <w:rFonts w:hint="eastAsia" w:ascii="仿宋" w:hAnsi="仿宋" w:eastAsia="仿宋" w:cs="仿宋"/>
          <w:sz w:val="28"/>
          <w:szCs w:val="28"/>
        </w:rPr>
        <w:t>1、交货地点：采购人指定地点。</w:t>
      </w:r>
    </w:p>
    <w:p>
      <w:pPr>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本项目为交钥匙工程，成交供应商必须在合同签订后</w:t>
      </w:r>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内供货、安装、调试，交付使用，并做好相关培训工作。</w:t>
      </w:r>
    </w:p>
    <w:p>
      <w:pPr>
        <w:rPr>
          <w:rFonts w:hint="eastAsia" w:ascii="仿宋" w:hAnsi="仿宋" w:eastAsia="仿宋" w:cs="仿宋"/>
          <w:sz w:val="28"/>
          <w:szCs w:val="28"/>
        </w:rPr>
      </w:pPr>
      <w:r>
        <w:rPr>
          <w:rFonts w:hint="eastAsia" w:ascii="仿宋" w:hAnsi="仿宋" w:eastAsia="仿宋" w:cs="仿宋"/>
          <w:sz w:val="28"/>
          <w:szCs w:val="28"/>
        </w:rPr>
        <w:t>3、验收</w:t>
      </w:r>
    </w:p>
    <w:p>
      <w:pPr>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由采购人进行验收，设备完成安装调试达到可使用状态后试用30天内无故障并收到成交供应商书面验收申请后按成交供应商响应文件逐条进行正式验收。如有必要，可请第三方验收。</w:t>
      </w:r>
    </w:p>
    <w:p>
      <w:pPr>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rPr>
      </w:pPr>
      <w:r>
        <w:rPr>
          <w:rFonts w:hint="eastAsia" w:ascii="仿宋" w:hAnsi="仿宋" w:eastAsia="仿宋" w:cs="仿宋"/>
          <w:sz w:val="28"/>
          <w:szCs w:val="28"/>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rPr>
      </w:pPr>
      <w:r>
        <w:rPr>
          <w:rFonts w:hint="eastAsia" w:ascii="仿宋" w:hAnsi="仿宋" w:eastAsia="仿宋" w:cs="仿宋"/>
          <w:sz w:val="28"/>
          <w:szCs w:val="28"/>
        </w:rPr>
        <w:t>4、售后服务</w:t>
      </w:r>
    </w:p>
    <w:p>
      <w:pPr>
        <w:rPr>
          <w:rFonts w:hint="eastAsia" w:ascii="仿宋" w:hAnsi="仿宋" w:eastAsia="仿宋" w:cs="仿宋"/>
          <w:sz w:val="28"/>
          <w:szCs w:val="28"/>
        </w:rPr>
      </w:pPr>
      <w:r>
        <w:rPr>
          <w:rFonts w:hint="eastAsia" w:ascii="仿宋" w:hAnsi="仿宋" w:eastAsia="仿宋" w:cs="仿宋"/>
          <w:sz w:val="28"/>
          <w:szCs w:val="28"/>
        </w:rPr>
        <w:t>4.1、相关售后服务响应承诺及资料</w:t>
      </w:r>
    </w:p>
    <w:p>
      <w:pPr>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rPr>
      </w:pPr>
      <w:r>
        <w:rPr>
          <w:rFonts w:hint="eastAsia" w:ascii="仿宋" w:hAnsi="仿宋" w:eastAsia="仿宋" w:cs="仿宋"/>
          <w:sz w:val="28"/>
          <w:szCs w:val="28"/>
        </w:rPr>
        <w:t>（5）质保期满后，成交供应商应提供终身维修，用户只付零配件的费用，能长期提供良好的技术支持及零部件的优惠供应。提供质保期结束后延保服务收费标准、零配件名称、零配件供应价格、全国统一最低报价清单，凡未列入清单的零配件视为免费提供。</w:t>
      </w:r>
    </w:p>
    <w:p>
      <w:pPr>
        <w:rPr>
          <w:rFonts w:hint="eastAsia" w:ascii="仿宋" w:hAnsi="仿宋" w:eastAsia="仿宋" w:cs="仿宋"/>
          <w:sz w:val="28"/>
          <w:szCs w:val="28"/>
        </w:rPr>
      </w:pPr>
      <w:r>
        <w:rPr>
          <w:rFonts w:hint="eastAsia" w:ascii="仿宋" w:hAnsi="仿宋" w:eastAsia="仿宋" w:cs="仿宋"/>
          <w:sz w:val="28"/>
          <w:szCs w:val="28"/>
        </w:rPr>
        <w:t>（6）免费开放与医院信息系统对接端口，由制造商或国内授权代理商出具售后服务承诺书。</w:t>
      </w:r>
    </w:p>
    <w:p>
      <w:pPr>
        <w:pStyle w:val="3"/>
        <w:rPr>
          <w:rFonts w:hint="eastAsia" w:ascii="仿宋" w:hAnsi="仿宋" w:eastAsia="仿宋" w:cs="仿宋"/>
          <w:b w:val="0"/>
          <w:bCs/>
          <w:color w:val="auto"/>
          <w:sz w:val="28"/>
          <w:szCs w:val="28"/>
          <w:lang w:val="en-US" w:eastAsia="zh-CN"/>
        </w:rPr>
      </w:pPr>
    </w:p>
    <w:p>
      <w:pPr>
        <w:pStyle w:val="3"/>
        <w:numPr>
          <w:ilvl w:val="0"/>
          <w:numId w:val="0"/>
        </w:numPr>
        <w:ind w:leftChars="0"/>
        <w:rPr>
          <w:rFonts w:hint="default"/>
          <w:color w:val="auto"/>
          <w:lang w:val="en-US" w:eastAsia="zh-CN"/>
        </w:rPr>
      </w:pPr>
    </w:p>
    <w:p>
      <w:pPr>
        <w:spacing w:line="220" w:lineRule="atLeast"/>
        <w:rPr>
          <w:rFonts w:hint="eastAsia" w:ascii="仿宋" w:hAnsi="仿宋" w:eastAsia="仿宋" w:cs="仿宋"/>
          <w:color w:val="auto"/>
        </w:rPr>
      </w:pPr>
      <w:bookmarkStart w:id="23" w:name="_Toc519068587"/>
      <w:bookmarkEnd w:id="23"/>
      <w:bookmarkStart w:id="24" w:name="_Toc5593"/>
      <w:r>
        <w:rPr>
          <w:rFonts w:hint="eastAsia" w:ascii="仿宋" w:hAnsi="仿宋" w:eastAsia="仿宋" w:cs="仿宋"/>
          <w:color w:val="auto"/>
        </w:rPr>
        <w:br w:type="page"/>
      </w: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bookmarkEnd w:id="24"/>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bookmarkStart w:id="25" w:name="_Toc5315"/>
      <w:bookmarkStart w:id="26" w:name="_Toc919"/>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5"/>
      <w:bookmarkEnd w:id="26"/>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7" w:name="_Toc19814"/>
      <w:bookmarkStart w:id="28" w:name="_Toc22759"/>
      <w:bookmarkStart w:id="29" w:name="_Toc413396840"/>
      <w:bookmarkStart w:id="30" w:name="_Toc331493648"/>
    </w:p>
    <w:p>
      <w:pPr>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bookmarkEnd w:id="27"/>
    <w:bookmarkEnd w:id="28"/>
    <w:bookmarkEnd w:id="29"/>
    <w:bookmarkEnd w:id="30"/>
    <w:p>
      <w:pPr>
        <w:pStyle w:val="5"/>
        <w:rPr>
          <w:rFonts w:hint="eastAsia" w:ascii="仿宋" w:hAnsi="仿宋" w:eastAsia="仿宋" w:cs="仿宋"/>
          <w:color w:val="auto"/>
          <w:kern w:val="0"/>
        </w:rPr>
      </w:pPr>
      <w:bookmarkStart w:id="31" w:name="_Toc485736232"/>
      <w:bookmarkStart w:id="32" w:name="_Toc480191543"/>
      <w:bookmarkStart w:id="33" w:name="_Toc413396845"/>
      <w:bookmarkStart w:id="34" w:name="_Toc1161"/>
      <w:bookmarkStart w:id="35" w:name="_Toc331493653"/>
      <w:bookmarkStart w:id="36" w:name="_Toc6176"/>
      <w:r>
        <w:rPr>
          <w:rFonts w:hint="eastAsia" w:ascii="仿宋" w:hAnsi="仿宋" w:eastAsia="仿宋" w:cs="仿宋"/>
          <w:color w:val="auto"/>
          <w:kern w:val="0"/>
          <w:lang w:val="en-US" w:eastAsia="zh-CN"/>
        </w:rPr>
        <w:t>2</w:t>
      </w:r>
      <w:r>
        <w:rPr>
          <w:rFonts w:hint="eastAsia" w:ascii="仿宋" w:hAnsi="仿宋" w:eastAsia="仿宋" w:cs="仿宋"/>
          <w:color w:val="auto"/>
          <w:kern w:val="0"/>
        </w:rPr>
        <w:t>、 响应货物报价一览表</w:t>
      </w:r>
      <w:bookmarkEnd w:id="31"/>
      <w:bookmarkEnd w:id="32"/>
    </w:p>
    <w:p>
      <w:pPr>
        <w:widowControl/>
        <w:ind w:left="4155" w:leftChars="50" w:hanging="4050" w:hangingChars="1500"/>
        <w:jc w:val="left"/>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 xml:space="preserve"> 响应供应商（公章）                                        </w:t>
      </w:r>
      <w:r>
        <w:rPr>
          <w:rFonts w:hint="eastAsia" w:ascii="仿宋" w:hAnsi="仿宋" w:eastAsia="仿宋" w:cs="仿宋"/>
          <w:color w:val="auto"/>
          <w:kern w:val="0"/>
          <w:sz w:val="27"/>
          <w:szCs w:val="27"/>
          <w:lang w:val="en-US" w:eastAsia="zh-CN"/>
        </w:rPr>
        <w:t>项目编号：</w:t>
      </w:r>
      <w:r>
        <w:rPr>
          <w:rFonts w:hint="eastAsia" w:ascii="仿宋" w:hAnsi="仿宋" w:eastAsia="仿宋" w:cs="仿宋"/>
          <w:color w:val="auto"/>
          <w:kern w:val="0"/>
          <w:sz w:val="27"/>
          <w:szCs w:val="27"/>
        </w:rPr>
        <w:t xml:space="preserve">      </w:t>
      </w:r>
    </w:p>
    <w:p>
      <w:pPr>
        <w:pStyle w:val="2"/>
        <w:rPr>
          <w:rFonts w:hint="eastAsia" w:ascii="仿宋" w:hAnsi="仿宋" w:eastAsia="仿宋" w:cs="仿宋"/>
          <w:color w:val="auto"/>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单价</w:t>
            </w:r>
          </w:p>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总价</w:t>
            </w:r>
          </w:p>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联系人及电话：</w:t>
      </w:r>
      <w:r>
        <w:rPr>
          <w:rFonts w:hint="eastAsia" w:ascii="仿宋" w:hAnsi="仿宋" w:eastAsia="仿宋" w:cs="仿宋"/>
          <w:color w:val="auto"/>
          <w:kern w:val="0"/>
          <w:sz w:val="27"/>
          <w:szCs w:val="27"/>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 时间：          年    月    日</w:t>
      </w:r>
    </w:p>
    <w:p>
      <w:pPr>
        <w:rPr>
          <w:rFonts w:hint="eastAsia" w:ascii="仿宋" w:hAnsi="仿宋" w:eastAsia="仿宋" w:cs="仿宋"/>
          <w:color w:val="auto"/>
          <w:kern w:val="0"/>
        </w:rPr>
      </w:pPr>
    </w:p>
    <w:p>
      <w:pPr>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33"/>
    <w:bookmarkEnd w:id="34"/>
    <w:bookmarkEnd w:id="35"/>
    <w:bookmarkEnd w:id="36"/>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bookmarkStart w:id="37" w:name="_Toc7073"/>
      <w:bookmarkStart w:id="38" w:name="_Toc413396854"/>
      <w:r>
        <w:rPr>
          <w:rFonts w:hint="eastAsia" w:ascii="仿宋" w:hAnsi="仿宋" w:eastAsia="仿宋" w:cs="仿宋"/>
          <w:b/>
          <w:color w:val="auto"/>
          <w:kern w:val="2"/>
          <w:sz w:val="32"/>
          <w:szCs w:val="32"/>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r>
        <w:rPr>
          <w:rFonts w:hint="eastAsia" w:ascii="仿宋" w:hAnsi="仿宋" w:eastAsia="仿宋" w:cs="仿宋"/>
          <w:b/>
          <w:color w:val="auto"/>
          <w:kern w:val="2"/>
          <w:sz w:val="32"/>
          <w:szCs w:val="32"/>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r>
        <w:rPr>
          <w:rFonts w:hint="eastAsia" w:ascii="仿宋" w:hAnsi="仿宋" w:eastAsia="仿宋" w:cs="仿宋"/>
          <w:b/>
          <w:color w:val="auto"/>
          <w:kern w:val="2"/>
          <w:sz w:val="32"/>
          <w:szCs w:val="32"/>
          <w:highlight w:val="none"/>
          <w:lang w:val="en-US" w:eastAsia="zh-CN" w:bidi="ar-SA"/>
        </w:rPr>
        <w:t>3-3、投标人关于具备履行竞争性谈判合同所必需的专业技术能力书面承诺函（格式）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法定代表人（或负责人或经营者）授权书（格式）</w:t>
      </w:r>
      <w:bookmarkEnd w:id="37"/>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7"/>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lang w:val="en-US" w:eastAsia="zh-CN"/>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lang w:val="en-US" w:eastAsia="zh-CN"/>
        </w:rPr>
        <w:t>3-5、</w:t>
      </w: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tbl>
      <w:tblPr>
        <w:tblStyle w:val="17"/>
        <w:tblpPr w:leftFromText="180" w:rightFromText="180" w:vertAnchor="text" w:horzAnchor="page" w:tblpX="1796" w:tblpY="69"/>
        <w:tblOverlap w:val="never"/>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tbl>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500" w:lineRule="exact"/>
        <w:ind w:firstLine="3080" w:firstLineChars="1100"/>
        <w:rPr>
          <w:rFonts w:hint="eastAsia" w:ascii="仿宋" w:hAnsi="仿宋" w:eastAsia="仿宋" w:cs="仿宋"/>
          <w:color w:val="auto"/>
          <w:sz w:val="28"/>
          <w:szCs w:val="28"/>
          <w:highlight w:val="none"/>
        </w:rPr>
      </w:pPr>
    </w:p>
    <w:p>
      <w:pPr>
        <w:spacing w:line="500" w:lineRule="exact"/>
        <w:ind w:firstLine="3080" w:firstLineChars="1100"/>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32"/>
          <w:szCs w:val="32"/>
        </w:rPr>
      </w:pPr>
      <w:bookmarkStart w:id="39" w:name="_Toc423337566"/>
      <w:bookmarkStart w:id="40" w:name="_Toc5438"/>
      <w:bookmarkStart w:id="41" w:name="_Toc469749009"/>
      <w:bookmarkStart w:id="42" w:name="_Toc10077"/>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技术规格响应/偏离表</w:t>
      </w:r>
      <w:bookmarkEnd w:id="39"/>
      <w:bookmarkEnd w:id="40"/>
      <w:bookmarkEnd w:id="41"/>
      <w:bookmarkEnd w:id="42"/>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36"/>
        <w:gridCol w:w="2146"/>
        <w:gridCol w:w="33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786" w:type="dxa"/>
            <w:gridSpan w:val="3"/>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w:t>
            </w:r>
            <w:r>
              <w:rPr>
                <w:rFonts w:hint="eastAsia" w:ascii="仿宋" w:hAnsi="仿宋" w:eastAsia="仿宋" w:cs="仿宋"/>
                <w:bCs/>
                <w:color w:val="auto"/>
                <w:kern w:val="0"/>
                <w:sz w:val="28"/>
                <w:szCs w:val="28"/>
                <w:lang w:eastAsia="zh-CN"/>
              </w:rPr>
              <w:t>磋商</w:t>
            </w:r>
            <w:r>
              <w:rPr>
                <w:rFonts w:hint="eastAsia" w:ascii="仿宋" w:hAnsi="仿宋" w:eastAsia="仿宋" w:cs="仿宋"/>
                <w:bCs/>
                <w:color w:val="auto"/>
                <w:kern w:val="0"/>
                <w:sz w:val="28"/>
                <w:szCs w:val="28"/>
              </w:rPr>
              <w:t>文件规定填写</w:t>
            </w:r>
          </w:p>
        </w:tc>
        <w:tc>
          <w:tcPr>
            <w:tcW w:w="4842" w:type="dxa"/>
            <w:gridSpan w:val="2"/>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按响应供应商实际内容填写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93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货物名称</w:t>
            </w:r>
          </w:p>
        </w:tc>
        <w:tc>
          <w:tcPr>
            <w:tcW w:w="214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货物要求及规格</w:t>
            </w:r>
          </w:p>
        </w:tc>
        <w:tc>
          <w:tcPr>
            <w:tcW w:w="336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货物技术规格及配置描述</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rPr>
          <w:rFonts w:hint="eastAsia" w:ascii="仿宋" w:hAnsi="仿宋" w:eastAsia="仿宋" w:cs="仿宋"/>
          <w:b/>
          <w:color w:val="auto"/>
          <w:sz w:val="28"/>
          <w:szCs w:val="28"/>
          <w:u w:val="single"/>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法定代表人（单位负责人、经营者）（签字）：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spacing w:line="500" w:lineRule="exact"/>
        <w:ind w:firstLine="560" w:firstLineChars="200"/>
        <w:rPr>
          <w:rFonts w:hint="eastAsia" w:ascii="仿宋" w:hAnsi="仿宋" w:eastAsia="仿宋" w:cs="仿宋"/>
          <w:bCs/>
          <w:color w:val="auto"/>
          <w:sz w:val="28"/>
          <w:szCs w:val="28"/>
          <w:u w:val="single"/>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32"/>
          <w:szCs w:val="32"/>
        </w:rPr>
      </w:pPr>
      <w:bookmarkStart w:id="43" w:name="_Toc469749010"/>
      <w:bookmarkStart w:id="44" w:name="_Toc423337567"/>
      <w:bookmarkStart w:id="45" w:name="_Toc29967"/>
      <w:bookmarkStart w:id="46" w:name="_Toc26723"/>
      <w:r>
        <w:rPr>
          <w:rFonts w:hint="eastAsia" w:ascii="仿宋" w:hAnsi="仿宋" w:eastAsia="仿宋" w:cs="仿宋"/>
          <w:b/>
          <w:bCs/>
          <w:color w:val="auto"/>
          <w:sz w:val="32"/>
          <w:szCs w:val="32"/>
          <w:lang w:val="en-US" w:eastAsia="zh-CN"/>
        </w:rPr>
        <w:t>3-7、</w:t>
      </w:r>
      <w:r>
        <w:rPr>
          <w:rFonts w:hint="eastAsia" w:ascii="仿宋" w:hAnsi="仿宋" w:eastAsia="仿宋" w:cs="仿宋"/>
          <w:b/>
          <w:bCs/>
          <w:color w:val="auto"/>
          <w:sz w:val="32"/>
          <w:szCs w:val="32"/>
        </w:rPr>
        <w:t>商务条款响应/偏离表</w:t>
      </w:r>
      <w:bookmarkEnd w:id="43"/>
      <w:bookmarkEnd w:id="44"/>
      <w:bookmarkEnd w:id="45"/>
      <w:bookmarkEnd w:id="46"/>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096"/>
        <w:gridCol w:w="282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309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磋商</w:t>
            </w:r>
            <w:r>
              <w:rPr>
                <w:rFonts w:hint="eastAsia" w:ascii="仿宋" w:hAnsi="仿宋" w:eastAsia="仿宋" w:cs="仿宋"/>
                <w:color w:val="auto"/>
                <w:sz w:val="28"/>
                <w:szCs w:val="28"/>
              </w:rPr>
              <w:t>文件的商务条款</w:t>
            </w:r>
          </w:p>
        </w:tc>
        <w:tc>
          <w:tcPr>
            <w:tcW w:w="282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响应文件的商务条款</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注：商务条款包括交货期、付款方式、质保期、售后服务等内容。</w:t>
      </w:r>
    </w:p>
    <w:p>
      <w:pPr>
        <w:spacing w:line="500" w:lineRule="exact"/>
        <w:ind w:firstLine="560" w:firstLineChars="200"/>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法定代表人（单位负责人、经营者）（签字）：</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pStyle w:val="2"/>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ind w:firstLine="0"/>
        <w:jc w:val="center"/>
        <w:rPr>
          <w:rStyle w:val="41"/>
          <w:rFonts w:hint="eastAsia" w:ascii="仿宋" w:hAnsi="仿宋" w:eastAsia="仿宋" w:cs="仿宋"/>
          <w:b/>
          <w:color w:val="auto"/>
          <w:sz w:val="32"/>
          <w:szCs w:val="32"/>
        </w:rPr>
      </w:pPr>
      <w:r>
        <w:rPr>
          <w:rStyle w:val="41"/>
          <w:rFonts w:hint="eastAsia" w:ascii="仿宋" w:hAnsi="仿宋" w:eastAsia="仿宋" w:cs="仿宋"/>
          <w:b/>
          <w:color w:val="auto"/>
          <w:sz w:val="32"/>
          <w:szCs w:val="32"/>
          <w:lang w:val="en-US" w:eastAsia="zh-CN"/>
        </w:rPr>
        <w:t>3-8、</w:t>
      </w:r>
      <w:r>
        <w:rPr>
          <w:rStyle w:val="41"/>
          <w:rFonts w:hint="eastAsia" w:ascii="仿宋" w:hAnsi="仿宋" w:eastAsia="仿宋" w:cs="仿宋"/>
          <w:b/>
          <w:color w:val="auto"/>
          <w:sz w:val="32"/>
          <w:szCs w:val="32"/>
        </w:rPr>
        <w:t>响应供应商关于无重大违法记录书面声明函</w:t>
      </w:r>
    </w:p>
    <w:p>
      <w:pPr>
        <w:ind w:firstLine="0"/>
        <w:jc w:val="center"/>
        <w:rPr>
          <w:rStyle w:val="41"/>
          <w:rFonts w:hint="eastAsia" w:ascii="仿宋" w:hAnsi="仿宋" w:eastAsia="仿宋" w:cs="仿宋"/>
          <w:b/>
          <w:color w:val="auto"/>
          <w:sz w:val="32"/>
          <w:szCs w:val="32"/>
        </w:rPr>
      </w:pPr>
      <w:r>
        <w:rPr>
          <w:rStyle w:val="41"/>
          <w:rFonts w:hint="eastAsia" w:ascii="仿宋" w:hAnsi="仿宋" w:eastAsia="仿宋" w:cs="仿宋"/>
          <w:b/>
          <w:color w:val="auto"/>
          <w:sz w:val="32"/>
          <w:szCs w:val="32"/>
        </w:rPr>
        <w:t>（格式）</w:t>
      </w:r>
    </w:p>
    <w:p>
      <w:pPr>
        <w:snapToGrid w:val="0"/>
        <w:spacing w:line="360" w:lineRule="auto"/>
        <w:ind w:firstLine="0"/>
        <w:jc w:val="left"/>
        <w:rPr>
          <w:rStyle w:val="41"/>
          <w:rFonts w:hint="eastAsia" w:ascii="仿宋" w:hAnsi="仿宋" w:eastAsia="仿宋" w:cs="仿宋"/>
          <w:color w:val="auto"/>
          <w:sz w:val="28"/>
          <w:szCs w:val="28"/>
          <w:lang w:val="en-US" w:eastAsia="zh-CN"/>
        </w:rPr>
      </w:pPr>
      <w:r>
        <w:rPr>
          <w:rStyle w:val="41"/>
          <w:rFonts w:hint="eastAsia" w:ascii="仿宋" w:hAnsi="仿宋" w:eastAsia="仿宋" w:cs="仿宋"/>
          <w:color w:val="auto"/>
          <w:sz w:val="28"/>
          <w:szCs w:val="28"/>
        </w:rPr>
        <w:t>致：</w:t>
      </w:r>
      <w:r>
        <w:rPr>
          <w:rStyle w:val="41"/>
          <w:rFonts w:hint="eastAsia" w:ascii="仿宋" w:hAnsi="仿宋" w:eastAsia="仿宋" w:cs="仿宋"/>
          <w:color w:val="auto"/>
          <w:sz w:val="28"/>
          <w:szCs w:val="28"/>
          <w:lang w:val="en-US" w:eastAsia="zh-CN"/>
        </w:rPr>
        <w:t>赣州市肿瘤医院</w:t>
      </w:r>
    </w:p>
    <w:p>
      <w:pPr>
        <w:snapToGrid w:val="0"/>
        <w:spacing w:line="360" w:lineRule="auto"/>
        <w:ind w:firstLine="560" w:firstLineChars="200"/>
        <w:jc w:val="left"/>
        <w:rPr>
          <w:rStyle w:val="41"/>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响应供应商名称在参加本次政府采购活动前三年内，在经营活动中没有因违法经营受到刑事处罚或者责令停产停业、吊销许可证或者执照、较大数额罚款等重大违法记录。</w:t>
      </w:r>
    </w:p>
    <w:p>
      <w:pPr>
        <w:snapToGrid w:val="0"/>
        <w:spacing w:line="360" w:lineRule="auto"/>
        <w:ind w:firstLine="560" w:firstLineChars="20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特此声明。</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                                响应供应商名称（公章） </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p>
    <w:p>
      <w:pPr>
        <w:spacing w:before="100" w:beforeAutospacing="1" w:after="100" w:afterAutospacing="1" w:line="500" w:lineRule="exact"/>
        <w:ind w:firstLine="540"/>
        <w:jc w:val="righ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响应供应商代表（签字或盖章）：   </w:t>
      </w:r>
    </w:p>
    <w:p>
      <w:pPr>
        <w:spacing w:before="100" w:beforeAutospacing="1" w:after="100" w:afterAutospacing="1" w:line="500" w:lineRule="exact"/>
        <w:ind w:firstLine="513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年   月   日</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32"/>
          <w:szCs w:val="32"/>
        </w:rPr>
      </w:pPr>
      <w:bookmarkStart w:id="47" w:name="_Toc17814"/>
      <w:bookmarkStart w:id="48" w:name="_Toc469749015"/>
      <w:r>
        <w:rPr>
          <w:rFonts w:hint="eastAsia" w:ascii="仿宋" w:hAnsi="仿宋" w:eastAsia="仿宋" w:cs="仿宋"/>
          <w:b/>
          <w:bCs/>
          <w:color w:val="auto"/>
          <w:sz w:val="32"/>
          <w:szCs w:val="32"/>
          <w:lang w:val="en-US" w:eastAsia="zh-CN"/>
        </w:rPr>
        <w:t>3-9、</w:t>
      </w:r>
      <w:r>
        <w:rPr>
          <w:rFonts w:hint="eastAsia" w:ascii="仿宋" w:hAnsi="仿宋" w:eastAsia="仿宋" w:cs="仿宋"/>
          <w:b/>
          <w:bCs/>
          <w:color w:val="auto"/>
          <w:sz w:val="32"/>
          <w:szCs w:val="32"/>
        </w:rPr>
        <w:t>依法缴纳税收证明</w:t>
      </w:r>
      <w:bookmarkEnd w:id="47"/>
      <w:bookmarkEnd w:id="48"/>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说明：1、依法缴纳税收证明是指由响应供应商税务登记证和开启截止时间前100日内缴纳增值税的凭据（有依法征收部门印章，税务部门另有规定的，从其规定）；</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2、其他组织也需要提供缴纳税收的凭据；</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3、依法免税的响应供应商，须提供相应文件证明其依法免税；</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在响应文件中提供依法缴纳税收证明或免税证明（免税证明包含但不限于税务部门出具的证明材料或响应供应商未达到缴纳税收限额标准的加盖响应供应商公章的声明函）其中之一复印件加盖印章即可。（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440" w:lineRule="exact"/>
        <w:ind w:firstLine="540" w:firstLineChars="200"/>
        <w:rPr>
          <w:rFonts w:hint="eastAsia" w:ascii="仿宋" w:hAnsi="仿宋" w:eastAsia="仿宋" w:cs="仿宋"/>
          <w:color w:val="auto"/>
          <w:sz w:val="27"/>
          <w:szCs w:val="27"/>
        </w:rPr>
      </w:pPr>
    </w:p>
    <w:p>
      <w:pPr>
        <w:pStyle w:val="2"/>
        <w:rPr>
          <w:rFonts w:hint="eastAsia" w:ascii="仿宋" w:hAnsi="仿宋" w:eastAsia="仿宋" w:cs="仿宋"/>
          <w:color w:val="auto"/>
          <w:sz w:val="27"/>
          <w:szCs w:val="27"/>
        </w:rPr>
      </w:pPr>
    </w:p>
    <w:p>
      <w:pPr>
        <w:pStyle w:val="5"/>
        <w:rPr>
          <w:rFonts w:hint="eastAsia" w:ascii="仿宋" w:hAnsi="仿宋" w:eastAsia="仿宋" w:cs="仿宋"/>
          <w:b w:val="0"/>
          <w:bCs w:val="0"/>
          <w:color w:val="auto"/>
        </w:rPr>
      </w:pPr>
      <w:bookmarkStart w:id="49" w:name="_Toc423337572"/>
      <w:bookmarkStart w:id="50" w:name="_Toc469749016"/>
      <w:bookmarkStart w:id="51" w:name="_Toc24506"/>
    </w:p>
    <w:p>
      <w:pPr>
        <w:pStyle w:val="5"/>
        <w:rPr>
          <w:rFonts w:hint="eastAsia" w:ascii="仿宋" w:hAnsi="仿宋" w:eastAsia="仿宋" w:cs="仿宋"/>
          <w:b w:val="0"/>
          <w:bCs w:val="0"/>
          <w:color w:val="auto"/>
        </w:rPr>
      </w:pPr>
    </w:p>
    <w:p>
      <w:pPr>
        <w:pStyle w:val="5"/>
        <w:rPr>
          <w:rFonts w:hint="eastAsia" w:ascii="仿宋" w:hAnsi="仿宋" w:eastAsia="仿宋" w:cs="仿宋"/>
          <w:b w:val="0"/>
          <w:bCs w:val="0"/>
          <w:color w:val="auto"/>
        </w:rPr>
      </w:pPr>
    </w:p>
    <w:bookmarkEnd w:id="49"/>
    <w:bookmarkEnd w:id="50"/>
    <w:bookmarkEnd w:id="51"/>
    <w:p>
      <w:pPr>
        <w:pStyle w:val="5"/>
        <w:ind w:left="0" w:leftChars="0" w:firstLine="0" w:firstLineChars="0"/>
        <w:jc w:val="both"/>
        <w:rPr>
          <w:rFonts w:hint="eastAsia" w:ascii="仿宋" w:hAnsi="仿宋" w:eastAsia="仿宋" w:cs="仿宋"/>
          <w:b w:val="0"/>
          <w:bCs w:val="0"/>
          <w:color w:val="auto"/>
          <w:lang w:val="en-US" w:eastAsia="zh-CN"/>
        </w:rPr>
      </w:pPr>
    </w:p>
    <w:p>
      <w:pPr>
        <w:pStyle w:val="5"/>
        <w:ind w:left="0" w:leftChars="0" w:firstLine="0" w:firstLineChars="0"/>
        <w:jc w:val="both"/>
        <w:rPr>
          <w:rFonts w:hint="eastAsia" w:ascii="仿宋" w:hAnsi="仿宋" w:eastAsia="仿宋" w:cs="仿宋"/>
          <w:b w:val="0"/>
          <w:bCs w:val="0"/>
          <w:color w:val="auto"/>
          <w:lang w:val="en-US" w:eastAsia="zh-CN"/>
        </w:rPr>
      </w:pPr>
    </w:p>
    <w:p>
      <w:pPr>
        <w:pStyle w:val="3"/>
        <w:rPr>
          <w:rFonts w:hint="eastAsia" w:ascii="仿宋" w:hAnsi="仿宋" w:eastAsia="仿宋" w:cs="仿宋"/>
          <w:color w:val="auto"/>
          <w:sz w:val="28"/>
          <w:szCs w:val="28"/>
          <w:highlight w:val="none"/>
        </w:rPr>
      </w:pPr>
    </w:p>
    <w:p>
      <w:pPr>
        <w:pStyle w:val="5"/>
        <w:ind w:left="0" w:leftChars="0" w:firstLine="0" w:firstLineChars="0"/>
        <w:jc w:val="center"/>
        <w:rPr>
          <w:rFonts w:hint="eastAsia" w:ascii="仿宋" w:hAnsi="仿宋" w:eastAsia="仿宋" w:cs="仿宋"/>
          <w:b/>
          <w:bCs/>
          <w:color w:val="auto"/>
          <w:sz w:val="26"/>
          <w:szCs w:val="26"/>
        </w:rPr>
      </w:pPr>
      <w:r>
        <w:rPr>
          <w:rFonts w:hint="eastAsia" w:ascii="仿宋" w:hAnsi="仿宋" w:eastAsia="仿宋" w:cs="仿宋"/>
          <w:b/>
          <w:bCs/>
          <w:color w:val="auto"/>
          <w:lang w:val="en-US" w:eastAsia="zh-CN"/>
        </w:rPr>
        <w:t>3-10、</w:t>
      </w:r>
      <w:r>
        <w:rPr>
          <w:rFonts w:hint="eastAsia" w:ascii="仿宋" w:hAnsi="仿宋" w:eastAsia="仿宋" w:cs="仿宋"/>
          <w:b/>
          <w:bCs/>
          <w:color w:val="auto"/>
        </w:rPr>
        <w:t>依法缴纳社会保障资金的相</w:t>
      </w:r>
      <w:bookmarkStart w:id="52" w:name="_GoBack"/>
      <w:bookmarkEnd w:id="52"/>
      <w:r>
        <w:rPr>
          <w:rFonts w:hint="eastAsia" w:ascii="仿宋" w:hAnsi="仿宋" w:eastAsia="仿宋" w:cs="仿宋"/>
          <w:b/>
          <w:bCs/>
          <w:color w:val="auto"/>
        </w:rPr>
        <w:t>关材料</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1、依法缴纳社会保障资金证明材料包括：专用收据或社会保险缴纳清单（有依法征收部门印章，响应供应商所在地社保部门另有规定的，从其规定）；</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2、专用收据或社会保险缴纳清单必须是开启截止时间前90日内的证明材料；</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3、其他组织也需要提供缴纳社会保险的凭据（专用收据或社会保险缴纳清单）</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4、不需要缴纳社会保障资金的响应供应商，须提供相应文件证明不需要缴纳社会保障资金。</w:t>
      </w:r>
    </w:p>
    <w:p>
      <w:pPr>
        <w:spacing w:line="44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5、委托代理人必须依法缴纳社保。</w:t>
      </w:r>
      <w:r>
        <w:rPr>
          <w:rFonts w:hint="eastAsia" w:ascii="仿宋" w:hAnsi="仿宋" w:eastAsia="仿宋" w:cs="仿宋"/>
          <w:color w:val="auto"/>
          <w:sz w:val="28"/>
          <w:szCs w:val="28"/>
        </w:rPr>
        <w:t>（须提供含有委托代理人姓名的社会保险缴纳清单或委托代理人基本养老保险个人账户对账单，如委托代理人不需要缴纳社会保险，则须提供证明材料）</w:t>
      </w:r>
    </w:p>
    <w:p>
      <w:pPr>
        <w:spacing w:line="500" w:lineRule="exact"/>
        <w:ind w:right="54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500" w:lineRule="exact"/>
        <w:ind w:firstLine="3080" w:firstLineChars="1100"/>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bookmarkEnd w:id="38"/>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D05AFFC4"/>
    <w:multiLevelType w:val="singleLevel"/>
    <w:tmpl w:val="D05AFFC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jhkNjlkY2NhM2UxMTg3MjFkMjZmZWZmNTM0MzY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33</Pages>
  <Words>9683</Words>
  <Characters>10101</Characters>
  <Lines>111</Lines>
  <Paragraphs>31</Paragraphs>
  <TotalTime>6</TotalTime>
  <ScaleCrop>false</ScaleCrop>
  <LinksUpToDate>false</LinksUpToDate>
  <CharactersWithSpaces>10937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2022-08-04T07:10:37Z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9757BC6343A446379646FE5D8119DCC1</vt:lpwstr>
  </property>
</Properties>
</file>