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电子支气管软镜</w:t>
      </w:r>
      <w:r>
        <w:rPr>
          <w:rFonts w:hint="eastAsia" w:ascii="仿宋" w:hAnsi="仿宋" w:eastAsia="仿宋" w:cs="仿宋"/>
          <w:b/>
          <w:bCs/>
          <w:color w:val="auto"/>
          <w:sz w:val="48"/>
          <w:szCs w:val="48"/>
          <w:highlight w:val="none"/>
          <w:lang w:eastAsia="zh-CN"/>
        </w:rPr>
        <w:t>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二</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八</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4"/>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color w:val="auto"/>
        </w:rPr>
        <w:sectPr>
          <w:headerReference r:id="rId3" w:type="default"/>
          <w:pgSz w:w="11906" w:h="16838"/>
          <w:pgMar w:top="1440" w:right="1797" w:bottom="1440" w:left="1797" w:header="851" w:footer="992" w:gutter="0"/>
          <w:pgNumType w:start="1"/>
          <w:cols w:space="720" w:num="1"/>
          <w:docGrid w:type="lines" w:linePitch="312" w:charSpace="0"/>
        </w:sectPr>
      </w:pPr>
    </w:p>
    <w:p>
      <w:pPr>
        <w:pStyle w:val="4"/>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5"/>
        <w:spacing w:line="240" w:lineRule="auto"/>
        <w:ind w:firstLine="2869" w:firstLineChars="893"/>
        <w:jc w:val="both"/>
        <w:rPr>
          <w:rFonts w:hint="eastAsia" w:ascii="仿宋" w:hAnsi="仿宋" w:eastAsia="仿宋" w:cs="仿宋"/>
          <w:color w:val="auto"/>
          <w:kern w:val="0"/>
          <w:sz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赣州市肿瘤医院就电子支气管软镜项目进行竞争性谈判，现欢迎符合资格条件的供应商前来参加。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 w:hAnsi="仿宋" w:eastAsia="仿宋" w:cs="仿宋"/>
          <w:color w:val="auto"/>
          <w:sz w:val="28"/>
          <w:szCs w:val="28"/>
          <w:lang w:val="en-US" w:eastAsia="zh-CN"/>
        </w:rPr>
      </w:pPr>
      <w:r>
        <w:rPr>
          <w:rStyle w:val="19"/>
          <w:rFonts w:hint="eastAsia" w:ascii="仿宋" w:hAnsi="仿宋" w:eastAsia="仿宋" w:cs="仿宋"/>
          <w:b/>
          <w:bCs/>
          <w:i w:val="0"/>
          <w:iCs w:val="0"/>
          <w:caps w:val="0"/>
          <w:color w:val="auto"/>
          <w:spacing w:val="0"/>
          <w:sz w:val="28"/>
          <w:szCs w:val="28"/>
          <w:lang w:val="en-US" w:eastAsia="zh-CN"/>
        </w:rPr>
        <w:t>一、</w:t>
      </w:r>
      <w:r>
        <w:rPr>
          <w:rStyle w:val="19"/>
          <w:rFonts w:hint="eastAsia" w:ascii="仿宋" w:hAnsi="仿宋" w:eastAsia="仿宋" w:cs="仿宋"/>
          <w:b/>
          <w:bCs/>
          <w:i w:val="0"/>
          <w:iCs w:val="0"/>
          <w:caps w:val="0"/>
          <w:color w:val="auto"/>
          <w:spacing w:val="0"/>
          <w:sz w:val="28"/>
          <w:szCs w:val="28"/>
        </w:rPr>
        <w:t>项目编号：</w:t>
      </w:r>
      <w:r>
        <w:rPr>
          <w:rFonts w:hint="eastAsia" w:ascii="仿宋" w:hAnsi="仿宋" w:eastAsia="仿宋" w:cs="仿宋"/>
          <w:i w:val="0"/>
          <w:iCs w:val="0"/>
          <w:caps w:val="0"/>
          <w:color w:val="auto"/>
          <w:spacing w:val="0"/>
          <w:sz w:val="28"/>
          <w:szCs w:val="28"/>
          <w:lang w:val="en-US" w:eastAsia="zh-CN"/>
        </w:rPr>
        <w:t>SB2022-0703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采购方式：</w:t>
      </w:r>
      <w:r>
        <w:rPr>
          <w:rFonts w:hint="eastAsia" w:ascii="仿宋" w:hAnsi="仿宋" w:eastAsia="仿宋" w:cs="仿宋"/>
          <w:i w:val="0"/>
          <w:iCs w:val="0"/>
          <w:caps w:val="0"/>
          <w:color w:val="auto"/>
          <w:spacing w:val="0"/>
          <w:kern w:val="0"/>
          <w:sz w:val="28"/>
          <w:szCs w:val="28"/>
          <w:lang w:val="en-US" w:eastAsia="zh-CN" w:bidi="ar"/>
        </w:rPr>
        <w:t>竞争性谈判</w:t>
      </w:r>
      <w:r>
        <w:rPr>
          <w:rFonts w:hint="eastAsia" w:ascii="仿宋" w:hAnsi="仿宋" w:eastAsia="仿宋" w:cs="仿宋"/>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三、采购内容：</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553"/>
        <w:gridCol w:w="157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序号</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货物名称</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数量（套）</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预算金额（元）</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1</w:t>
            </w:r>
          </w:p>
        </w:tc>
        <w:tc>
          <w:tcPr>
            <w:tcW w:w="1704"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电子支气管软镜</w:t>
            </w:r>
          </w:p>
        </w:tc>
        <w:tc>
          <w:tcPr>
            <w:tcW w:w="1553"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1</w:t>
            </w:r>
          </w:p>
        </w:tc>
        <w:tc>
          <w:tcPr>
            <w:tcW w:w="1570"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default"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78000.00</w:t>
            </w:r>
          </w:p>
        </w:tc>
        <w:tc>
          <w:tcPr>
            <w:tcW w:w="1991" w:type="dxa"/>
            <w:noWrap w:val="0"/>
            <w:vAlign w:val="center"/>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auto"/>
                <w:spacing w:val="0"/>
                <w:kern w:val="0"/>
                <w:sz w:val="28"/>
                <w:szCs w:val="28"/>
                <w:vertAlign w:val="baseline"/>
                <w:lang w:val="en-US" w:eastAsia="zh-CN" w:bidi="ar"/>
              </w:rPr>
            </w:pPr>
            <w:r>
              <w:rPr>
                <w:rFonts w:hint="eastAsia" w:ascii="仿宋" w:hAnsi="仿宋" w:eastAsia="仿宋" w:cs="仿宋"/>
                <w:i w:val="0"/>
                <w:iCs w:val="0"/>
                <w:caps w:val="0"/>
                <w:color w:val="auto"/>
                <w:spacing w:val="0"/>
                <w:kern w:val="0"/>
                <w:sz w:val="28"/>
                <w:szCs w:val="28"/>
                <w:vertAlign w:val="baseline"/>
                <w:lang w:val="en-US" w:eastAsia="zh-CN" w:bidi="ar"/>
              </w:rPr>
              <w:t>详见竞谈文件</w:t>
            </w:r>
          </w:p>
        </w:tc>
      </w:tr>
    </w:tbl>
    <w:p>
      <w:pPr>
        <w:numPr>
          <w:ilvl w:val="0"/>
          <w:numId w:val="0"/>
        </w:numPr>
        <w:ind w:leftChars="0"/>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四、谈判方式：</w:t>
      </w:r>
    </w:p>
    <w:p>
      <w:pPr>
        <w:numPr>
          <w:ilvl w:val="0"/>
          <w:numId w:val="0"/>
        </w:numPr>
        <w:ind w:leftChars="0" w:firstLine="560" w:firstLineChars="200"/>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p>
    <w:p>
      <w:pPr>
        <w:numPr>
          <w:ilvl w:val="0"/>
          <w:numId w:val="0"/>
        </w:numPr>
        <w:rPr>
          <w:rStyle w:val="19"/>
          <w:rFonts w:hint="eastAsia" w:ascii="仿宋" w:hAnsi="仿宋" w:eastAsia="仿宋" w:cs="仿宋"/>
          <w:b/>
          <w:bCs/>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五、响应供应商的资格要求：</w:t>
      </w:r>
    </w:p>
    <w:p>
      <w:pPr>
        <w:ind w:left="559" w:leftChars="266" w:firstLine="0" w:firstLineChars="0"/>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lang w:val="en-US" w:eastAsia="zh-CN"/>
        </w:rPr>
        <w:t>1、</w:t>
      </w:r>
      <w:r>
        <w:rPr>
          <w:rFonts w:hint="eastAsia" w:ascii="仿宋" w:hAnsi="仿宋" w:eastAsia="仿宋" w:cs="仿宋"/>
          <w:i w:val="0"/>
          <w:iCs w:val="0"/>
          <w:caps w:val="0"/>
          <w:color w:val="auto"/>
          <w:spacing w:val="0"/>
          <w:sz w:val="28"/>
          <w:szCs w:val="28"/>
        </w:rPr>
        <w:t>具有独立承担民事责任的能力；</w:t>
      </w:r>
      <w:r>
        <w:rPr>
          <w:rFonts w:hint="eastAsia" w:ascii="仿宋" w:hAnsi="仿宋" w:eastAsia="仿宋" w:cs="仿宋"/>
          <w:i w:val="0"/>
          <w:iCs w:val="0"/>
          <w:caps w:val="0"/>
          <w:color w:val="auto"/>
          <w:spacing w:val="0"/>
          <w:sz w:val="28"/>
          <w:szCs w:val="28"/>
        </w:rPr>
        <w:br w:type="textWrapping"/>
      </w:r>
      <w:r>
        <w:rPr>
          <w:rFonts w:hint="eastAsia" w:ascii="仿宋" w:hAnsi="仿宋" w:eastAsia="仿宋" w:cs="仿宋"/>
          <w:i w:val="0"/>
          <w:iCs w:val="0"/>
          <w:caps w:val="0"/>
          <w:color w:val="auto"/>
          <w:spacing w:val="0"/>
          <w:sz w:val="28"/>
          <w:szCs w:val="28"/>
          <w:lang w:val="en-US" w:eastAsia="zh-CN"/>
        </w:rPr>
        <w:t>2、</w:t>
      </w:r>
      <w:r>
        <w:rPr>
          <w:rFonts w:hint="eastAsia" w:ascii="仿宋" w:hAnsi="仿宋" w:eastAsia="仿宋" w:cs="仿宋"/>
          <w:i w:val="0"/>
          <w:iCs w:val="0"/>
          <w:caps w:val="0"/>
          <w:color w:val="auto"/>
          <w:spacing w:val="0"/>
          <w:sz w:val="28"/>
          <w:szCs w:val="28"/>
        </w:rPr>
        <w:t>具有履行合同所必需的设备和专业技术能力；</w:t>
      </w:r>
      <w:r>
        <w:rPr>
          <w:rFonts w:hint="eastAsia" w:ascii="仿宋" w:hAnsi="仿宋" w:eastAsia="仿宋" w:cs="仿宋"/>
          <w:i w:val="0"/>
          <w:iCs w:val="0"/>
          <w:caps w:val="0"/>
          <w:color w:val="auto"/>
          <w:spacing w:val="0"/>
          <w:sz w:val="28"/>
          <w:szCs w:val="28"/>
        </w:rPr>
        <w:br w:type="textWrapping"/>
      </w:r>
      <w:r>
        <w:rPr>
          <w:rFonts w:hint="eastAsia" w:ascii="仿宋" w:hAnsi="仿宋" w:eastAsia="仿宋" w:cs="仿宋"/>
          <w:i w:val="0"/>
          <w:iCs w:val="0"/>
          <w:caps w:val="0"/>
          <w:color w:val="auto"/>
          <w:spacing w:val="0"/>
          <w:sz w:val="28"/>
          <w:szCs w:val="28"/>
          <w:lang w:val="en-US" w:eastAsia="zh-CN"/>
        </w:rPr>
        <w:t>3、</w:t>
      </w:r>
      <w:r>
        <w:rPr>
          <w:rFonts w:hint="eastAsia" w:ascii="仿宋" w:hAnsi="仿宋" w:eastAsia="仿宋" w:cs="仿宋"/>
          <w:i w:val="0"/>
          <w:iCs w:val="0"/>
          <w:caps w:val="0"/>
          <w:color w:val="auto"/>
          <w:spacing w:val="0"/>
          <w:sz w:val="28"/>
          <w:szCs w:val="28"/>
        </w:rPr>
        <w:t>有依法缴纳税收和社会保障资金的良好记录；</w:t>
      </w:r>
      <w:r>
        <w:rPr>
          <w:rFonts w:hint="eastAsia" w:ascii="仿宋" w:hAnsi="仿宋" w:eastAsia="仿宋" w:cs="仿宋"/>
          <w:i w:val="0"/>
          <w:iCs w:val="0"/>
          <w:caps w:val="0"/>
          <w:color w:val="auto"/>
          <w:spacing w:val="0"/>
          <w:sz w:val="28"/>
          <w:szCs w:val="28"/>
        </w:rPr>
        <w:br w:type="textWrapping"/>
      </w:r>
      <w:r>
        <w:rPr>
          <w:rFonts w:hint="eastAsia" w:ascii="仿宋" w:hAnsi="仿宋" w:eastAsia="仿宋" w:cs="仿宋"/>
          <w:i w:val="0"/>
          <w:iCs w:val="0"/>
          <w:caps w:val="0"/>
          <w:color w:val="auto"/>
          <w:spacing w:val="0"/>
          <w:sz w:val="28"/>
          <w:szCs w:val="28"/>
          <w:lang w:val="en-US" w:eastAsia="zh-CN"/>
        </w:rPr>
        <w:t>4、</w:t>
      </w:r>
      <w:r>
        <w:rPr>
          <w:rFonts w:hint="eastAsia" w:ascii="仿宋" w:hAnsi="仿宋" w:eastAsia="仿宋" w:cs="仿宋"/>
          <w:i w:val="0"/>
          <w:iCs w:val="0"/>
          <w:caps w:val="0"/>
          <w:color w:val="auto"/>
          <w:spacing w:val="0"/>
          <w:sz w:val="28"/>
          <w:szCs w:val="28"/>
        </w:rPr>
        <w:t>参加采购活动前三年内，在经营活动中没有重大违法记录。</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其他资格条件：</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5.1所投一、二、三类医疗器械产品用于临床的：二、三类医疗器械产品的须具有医疗器械注册证及登记表（新证不需登记表），一类医疗器械产品的须具有产品备案登记凭证；</w:t>
      </w:r>
    </w:p>
    <w:p>
      <w:pPr>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5.2所投在中华人民共和国境内生产的一、二、三类医疗器械产品用于临床的：二、三类医疗器械产品须具有医疗器械生产许可证,一类医疗器械产品的须具有医疗器械生产备案凭证；</w:t>
      </w:r>
    </w:p>
    <w:p>
      <w:pPr>
        <w:ind w:firstLine="560" w:firstLineChars="200"/>
        <w:rPr>
          <w:rFonts w:hint="eastAsia" w:ascii="仿宋" w:hAnsi="仿宋" w:eastAsia="仿宋" w:cs="仿宋"/>
          <w:color w:val="auto"/>
          <w:highlight w:val="none"/>
        </w:rPr>
      </w:pPr>
      <w:r>
        <w:rPr>
          <w:rFonts w:hint="eastAsia" w:ascii="仿宋" w:hAnsi="仿宋" w:eastAsia="仿宋" w:cs="仿宋"/>
          <w:color w:val="auto"/>
          <w:sz w:val="28"/>
          <w:szCs w:val="28"/>
          <w:highlight w:val="none"/>
        </w:rPr>
        <w:t>5.3经营用于临床三、二类医疗器械的：三类医疗器械须具有医疗器械经营企业许可证，二类医</w:t>
      </w:r>
      <w:bookmarkStart w:id="50" w:name="_GoBack"/>
      <w:bookmarkEnd w:id="50"/>
      <w:r>
        <w:rPr>
          <w:rFonts w:hint="eastAsia" w:ascii="仿宋" w:hAnsi="仿宋" w:eastAsia="仿宋" w:cs="仿宋"/>
          <w:color w:val="auto"/>
          <w:sz w:val="28"/>
          <w:szCs w:val="28"/>
          <w:highlight w:val="none"/>
        </w:rPr>
        <w:t>疗器械的须具有医疗器械经营企业备案登记凭证；（医疗器械注册人或者生产企业在其住所或者生产地址销售医疗器械，不需提供）。</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19"/>
          <w:rFonts w:hint="eastAsia" w:ascii="仿宋" w:hAnsi="仿宋" w:eastAsia="仿宋" w:cs="仿宋"/>
          <w:b w:val="0"/>
          <w:bCs w:val="0"/>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报名时间、报名方式：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auto"/>
          <w:spacing w:val="0"/>
          <w:kern w:val="0"/>
          <w:sz w:val="28"/>
          <w:szCs w:val="28"/>
          <w:lang w:val="en-US" w:eastAsia="zh-CN" w:bidi="ar"/>
        </w:rPr>
        <w:t>本次竞争性谈判活动采用邮箱报名，不需要到现场报名，供应商须将报名表、营业执照扫描件于2022年8月7日下午17:00之前发送到到电子邮箱gzszlyycgb@126.com。如有疑问，请拨打电话0797-</w:t>
      </w:r>
      <w:r>
        <w:rPr>
          <w:rFonts w:hint="eastAsia" w:ascii="仿宋" w:hAnsi="仿宋" w:eastAsia="仿宋" w:cs="仿宋"/>
          <w:b w:val="0"/>
          <w:bCs w:val="0"/>
          <w:i w:val="0"/>
          <w:iCs w:val="0"/>
          <w:caps w:val="0"/>
          <w:color w:val="auto"/>
          <w:spacing w:val="0"/>
          <w:kern w:val="0"/>
          <w:sz w:val="28"/>
          <w:szCs w:val="28"/>
          <w:lang w:val="en-US" w:eastAsia="zh-CN" w:bidi="ar"/>
        </w:rPr>
        <w:t>8105097游龙跃</w:t>
      </w:r>
      <w:r>
        <w:rPr>
          <w:rStyle w:val="19"/>
          <w:rFonts w:hint="eastAsia" w:ascii="仿宋" w:hAnsi="仿宋" w:eastAsia="仿宋" w:cs="仿宋"/>
          <w:b w:val="0"/>
          <w:bCs w:val="0"/>
          <w:i w:val="0"/>
          <w:iCs w:val="0"/>
          <w:caps w:val="0"/>
          <w:color w:val="auto"/>
          <w:spacing w:val="0"/>
          <w:kern w:val="0"/>
          <w:sz w:val="28"/>
          <w:szCs w:val="28"/>
          <w:lang w:val="en-US" w:eastAsia="zh-CN" w:bidi="ar"/>
        </w:rPr>
        <w:t>。</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Style w:val="19"/>
          <w:rFonts w:hint="eastAsia" w:ascii="仿宋" w:hAnsi="仿宋" w:eastAsia="仿宋" w:cs="仿宋"/>
          <w:b/>
          <w:bCs/>
          <w:i w:val="0"/>
          <w:iCs w:val="0"/>
          <w:caps w:val="0"/>
          <w:color w:val="auto"/>
          <w:spacing w:val="0"/>
          <w:kern w:val="0"/>
          <w:sz w:val="28"/>
          <w:szCs w:val="28"/>
          <w:lang w:val="en-US" w:eastAsia="zh-CN" w:bidi="ar"/>
        </w:rPr>
        <w:t>七、响应截止时间和谈判时间：</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auto"/>
          <w:spacing w:val="0"/>
          <w:kern w:val="0"/>
          <w:sz w:val="28"/>
          <w:szCs w:val="28"/>
          <w:lang w:val="en-US" w:eastAsia="zh-CN" w:bidi="ar"/>
        </w:rPr>
        <w:t>现场响应截止时间：2022年8月8日（星期一）上午9：00。</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auto"/>
          <w:spacing w:val="0"/>
          <w:kern w:val="0"/>
          <w:sz w:val="28"/>
          <w:szCs w:val="28"/>
          <w:lang w:val="en-US" w:eastAsia="zh-CN" w:bidi="ar"/>
        </w:rPr>
        <w:t>现场谈判地点：赣州市肿瘤医院门诊楼401。</w:t>
      </w:r>
      <w:r>
        <w:rPr>
          <w:rFonts w:hint="eastAsia" w:ascii="仿宋" w:hAnsi="仿宋" w:eastAsia="仿宋" w:cs="仿宋"/>
          <w:b w:val="0"/>
          <w:bCs w:val="0"/>
          <w:i w:val="0"/>
          <w:iCs w:val="0"/>
          <w:caps w:val="0"/>
          <w:color w:val="auto"/>
          <w:spacing w:val="0"/>
          <w:kern w:val="0"/>
          <w:sz w:val="28"/>
          <w:szCs w:val="28"/>
          <w:lang w:val="en-US" w:eastAsia="zh-CN" w:bidi="ar"/>
        </w:rPr>
        <w:br w:type="textWrapping"/>
      </w:r>
      <w:r>
        <w:rPr>
          <w:rFonts w:hint="eastAsia" w:ascii="仿宋" w:hAnsi="仿宋" w:eastAsia="仿宋" w:cs="仿宋"/>
          <w:b w:val="0"/>
          <w:bCs w:val="0"/>
          <w:i w:val="0"/>
          <w:iCs w:val="0"/>
          <w:caps w:val="0"/>
          <w:color w:val="auto"/>
          <w:spacing w:val="0"/>
          <w:kern w:val="0"/>
          <w:sz w:val="28"/>
          <w:szCs w:val="28"/>
          <w:lang w:val="en-US" w:eastAsia="zh-CN" w:bidi="ar"/>
        </w:rPr>
        <w:t xml:space="preserve">  </w:t>
      </w:r>
      <w:r>
        <w:rPr>
          <w:rStyle w:val="19"/>
          <w:rFonts w:hint="eastAsia" w:ascii="仿宋" w:hAnsi="仿宋" w:eastAsia="仿宋" w:cs="仿宋"/>
          <w:b w:val="0"/>
          <w:bCs w:val="0"/>
          <w:i w:val="0"/>
          <w:iCs w:val="0"/>
          <w:caps w:val="0"/>
          <w:color w:val="auto"/>
          <w:spacing w:val="0"/>
          <w:kern w:val="0"/>
          <w:sz w:val="28"/>
          <w:szCs w:val="28"/>
          <w:lang w:val="en-US" w:eastAsia="zh-CN" w:bidi="ar"/>
        </w:rPr>
        <w:t>谈判文件一式三份（一正两副），资料按要求胶装成册。逾期或不符合规定的竞谈响应文件恕不接受。签到时应主动出示身份证明原件。（温馨提示：疫情期间，请各响应供应商提前按政府疫情防控相关要求做好准备。）</w:t>
      </w:r>
    </w:p>
    <w:p>
      <w:pPr>
        <w:numPr>
          <w:ilvl w:val="0"/>
          <w:numId w:val="0"/>
        </w:numPr>
        <w:ind w:leftChars="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八、</w:t>
      </w:r>
      <w:r>
        <w:rPr>
          <w:rFonts w:hint="eastAsia" w:ascii="仿宋" w:hAnsi="仿宋" w:eastAsia="仿宋" w:cs="仿宋"/>
          <w:b/>
          <w:bCs/>
          <w:color w:val="auto"/>
          <w:sz w:val="28"/>
          <w:szCs w:val="28"/>
        </w:rPr>
        <w:t>履约保证金及退回方式：</w:t>
      </w:r>
    </w:p>
    <w:p>
      <w:pPr>
        <w:numPr>
          <w:ilvl w:val="0"/>
          <w:numId w:val="0"/>
        </w:numPr>
        <w:ind w:leftChars="0" w:firstLine="560" w:firstLineChars="200"/>
        <w:rPr>
          <w:rFonts w:hint="eastAsia" w:ascii="仿宋" w:hAnsi="仿宋" w:eastAsia="仿宋" w:cs="仿宋"/>
          <w:b/>
          <w:bCs/>
          <w:color w:val="auto"/>
          <w:kern w:val="0"/>
          <w:sz w:val="28"/>
          <w:szCs w:val="28"/>
        </w:rPr>
      </w:pPr>
      <w:r>
        <w:rPr>
          <w:rFonts w:hint="eastAsia" w:ascii="仿宋" w:hAnsi="仿宋" w:eastAsia="仿宋" w:cs="仿宋"/>
          <w:color w:val="auto"/>
          <w:sz w:val="28"/>
          <w:szCs w:val="28"/>
        </w:rPr>
        <w:t>成交供应商还须缴纳履约保证金（履约保证金以银行转账（电汇）、支票、汇票、本票或者金融机构、担保机构出具的保函等非现金形式提交），按成交金额的5%缴纳履约保证金。履约保证金由采购人收取，履约结束时一次性无息退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九</w:t>
      </w:r>
      <w:r>
        <w:rPr>
          <w:rFonts w:hint="eastAsia" w:ascii="仿宋" w:hAnsi="仿宋" w:eastAsia="仿宋" w:cs="仿宋"/>
          <w:b/>
          <w:bCs/>
          <w:color w:val="auto"/>
          <w:sz w:val="28"/>
          <w:szCs w:val="28"/>
        </w:rPr>
        <w:t>、付款方式：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560" w:firstLineChars="200"/>
        <w:jc w:val="both"/>
        <w:rPr>
          <w:rFonts w:hint="eastAsia" w:ascii="仿宋" w:hAnsi="仿宋" w:eastAsia="仿宋" w:cs="仿宋"/>
          <w:color w:val="auto"/>
          <w:sz w:val="28"/>
          <w:szCs w:val="28"/>
          <w:highlight w:val="yellow"/>
        </w:rPr>
      </w:pPr>
      <w:r>
        <w:rPr>
          <w:rFonts w:hint="eastAsia" w:ascii="仿宋" w:hAnsi="仿宋" w:eastAsia="仿宋" w:cs="仿宋"/>
          <w:color w:val="auto"/>
          <w:sz w:val="28"/>
          <w:szCs w:val="28"/>
          <w:highlight w:val="none"/>
        </w:rPr>
        <w:t>合同签订、货物送达、安装调试、培训完成且验收合格,收到符合国家法律规定的税票后30天内支付合同总额的100%。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i w:val="0"/>
          <w:iCs w:val="0"/>
          <w:caps w:val="0"/>
          <w:color w:val="auto"/>
          <w:spacing w:val="0"/>
          <w:kern w:val="0"/>
          <w:sz w:val="28"/>
          <w:szCs w:val="28"/>
          <w:lang w:val="en-US" w:eastAsia="zh-CN" w:bidi="ar"/>
        </w:rPr>
      </w:pPr>
      <w:r>
        <w:rPr>
          <w:rStyle w:val="19"/>
          <w:rFonts w:hint="eastAsia" w:ascii="仿宋" w:hAnsi="仿宋" w:eastAsia="仿宋" w:cs="仿宋"/>
          <w:b/>
          <w:bCs/>
          <w:i w:val="0"/>
          <w:iCs w:val="0"/>
          <w:caps w:val="0"/>
          <w:color w:val="auto"/>
          <w:spacing w:val="0"/>
          <w:kern w:val="0"/>
          <w:sz w:val="28"/>
          <w:szCs w:val="28"/>
          <w:lang w:val="en-US" w:eastAsia="zh-CN" w:bidi="ar"/>
        </w:rPr>
        <w:t>十、联系方式：</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采购人：赣州市肿瘤医院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地址：赣州市水东镇花园前19号</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电话：0797-8105097</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auto"/>
          <w:spacing w:val="0"/>
          <w:sz w:val="28"/>
          <w:szCs w:val="28"/>
          <w:lang w:val="en-US"/>
        </w:rPr>
      </w:pPr>
      <w:r>
        <w:rPr>
          <w:rFonts w:hint="eastAsia" w:ascii="仿宋" w:hAnsi="仿宋" w:eastAsia="仿宋" w:cs="仿宋"/>
          <w:i w:val="0"/>
          <w:iCs w:val="0"/>
          <w:caps w:val="0"/>
          <w:color w:val="auto"/>
          <w:spacing w:val="0"/>
          <w:kern w:val="0"/>
          <w:sz w:val="28"/>
          <w:szCs w:val="28"/>
          <w:lang w:val="en-US" w:eastAsia="zh-CN" w:bidi="ar"/>
        </w:rPr>
        <w:t>联系人：游龙跃</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网址：http://www.gzzlyy.com/</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附件1：赣州肿瘤医院采购会报名表</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"http://www.gzzlyy.com/uploads/soft/210705/1-210F5114455.doc" </w:instrText>
            </w:r>
            <w:r>
              <w:rPr>
                <w:rFonts w:hint="eastAsia" w:ascii="仿宋" w:hAnsi="仿宋" w:eastAsia="仿宋" w:cs="仿宋"/>
                <w:color w:val="auto"/>
                <w:sz w:val="28"/>
                <w:szCs w:val="28"/>
                <w:u w:val="none"/>
              </w:rPr>
              <w:fldChar w:fldCharType="separate"/>
            </w:r>
            <w:r>
              <w:rPr>
                <w:rFonts w:hint="eastAsia" w:ascii="仿宋" w:hAnsi="仿宋" w:eastAsia="仿宋" w:cs="仿宋"/>
                <w:color w:val="auto"/>
                <w:sz w:val="28"/>
                <w:szCs w:val="28"/>
                <w:u w:val="none"/>
              </w:rPr>
              <mc:AlternateContent>
                <mc:Choice Requires="wps">
                  <w:drawing>
                    <wp:inline distT="0" distB="0" distL="114300" distR="114300">
                      <wp:extent cx="304800" cy="304800"/>
                      <wp:effectExtent l="0" t="0" r="0" b="0"/>
                      <wp:docPr id="3" name="矩形 3"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VBoTY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lang w:val="en-US"/>
        </w:rPr>
      </w:pPr>
      <w:r>
        <w:rPr>
          <w:rFonts w:hint="eastAsia" w:ascii="仿宋" w:hAnsi="仿宋" w:eastAsia="仿宋" w:cs="仿宋"/>
          <w:i w:val="0"/>
          <w:iCs w:val="0"/>
          <w:caps w:val="0"/>
          <w:color w:val="auto"/>
          <w:spacing w:val="0"/>
          <w:kern w:val="0"/>
          <w:sz w:val="28"/>
          <w:szCs w:val="28"/>
          <w:lang w:val="en-US" w:eastAsia="zh-CN" w:bidi="ar"/>
        </w:rPr>
        <w:t>附件2：竞争性谈判文件</w:t>
      </w:r>
    </w:p>
    <w:tbl>
      <w:tblPr>
        <w:tblStyle w:val="16"/>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sz w:val="28"/>
                <w:szCs w:val="28"/>
                <w:u w:val="none"/>
              </w:rPr>
              <w:fldChar w:fldCharType="begin"/>
            </w:r>
            <w:r>
              <w:rPr>
                <w:rFonts w:hint="eastAsia" w:ascii="仿宋" w:hAnsi="仿宋" w:eastAsia="仿宋" w:cs="仿宋"/>
                <w:color w:val="auto"/>
                <w:sz w:val="28"/>
                <w:szCs w:val="28"/>
                <w:u w:val="none"/>
              </w:rPr>
              <w:instrText xml:space="preserve"> HYPERLINK "http://www.gzzlyy.com/uploads/soft/210705/1-210F5114549.docx" </w:instrText>
            </w:r>
            <w:r>
              <w:rPr>
                <w:rFonts w:hint="eastAsia" w:ascii="仿宋" w:hAnsi="仿宋" w:eastAsia="仿宋" w:cs="仿宋"/>
                <w:color w:val="auto"/>
                <w:sz w:val="28"/>
                <w:szCs w:val="28"/>
                <w:u w:val="none"/>
              </w:rPr>
              <w:fldChar w:fldCharType="separate"/>
            </w:r>
            <w:r>
              <w:rPr>
                <w:rFonts w:hint="eastAsia" w:ascii="仿宋" w:hAnsi="仿宋" w:eastAsia="仿宋" w:cs="仿宋"/>
                <w:color w:val="auto"/>
                <w:sz w:val="28"/>
                <w:szCs w:val="28"/>
                <w:u w:val="none"/>
              </w:rPr>
              <mc:AlternateContent>
                <mc:Choice Requires="wps">
                  <w:drawing>
                    <wp:inline distT="0" distB="0" distL="114300" distR="114300">
                      <wp:extent cx="304800" cy="304800"/>
                      <wp:effectExtent l="0" t="0" r="0" b="0"/>
                      <wp:docPr id="2" name="矩形 2"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a:effectLst/>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HzJZ00gAAAAMBAAAPAAAAAAAAAAEAIAAAACIAAABkcnMvZG93bnJldi54bWxQSwECFAAU&#10;AAAACACHTuJAsDsVf74BAAB/AwAADgAAAAAAAAABACAAAAAhAQAAZHJzL2Uyb0RvYy54bWxQSwUG&#10;AAAAAAYABgBZAQAAUQUAAAAA&#10;">
                      <v:fill on="f" focussize="0,0"/>
                      <v:stroke on="f"/>
                      <v:imagedata o:title=""/>
                      <o:lock v:ext="edit" aspectratio="t"/>
                      <w10:wrap type="none"/>
                      <w10:anchorlock/>
                    </v:rect>
                  </w:pict>
                </mc:Fallback>
              </mc:AlternateContent>
            </w:r>
            <w:r>
              <w:rPr>
                <w:rFonts w:hint="eastAsia" w:ascii="仿宋" w:hAnsi="仿宋" w:eastAsia="仿宋" w:cs="仿宋"/>
                <w:color w:val="auto"/>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8"/>
                <w:szCs w:val="28"/>
              </w:rPr>
            </w:pPr>
            <w:r>
              <w:rPr>
                <w:rFonts w:hint="eastAsia" w:ascii="仿宋" w:hAnsi="仿宋" w:eastAsia="仿宋" w:cs="仿宋"/>
                <w:color w:val="auto"/>
                <w:kern w:val="0"/>
                <w:sz w:val="28"/>
                <w:szCs w:val="28"/>
                <w:lang w:val="en-US" w:eastAsia="zh-CN" w:bidi="ar"/>
              </w:rPr>
              <w:t> </w:t>
            </w:r>
          </w:p>
        </w:tc>
      </w:tr>
    </w:tbl>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i w:val="0"/>
          <w:iCs w:val="0"/>
          <w:caps w:val="0"/>
          <w:color w:val="auto"/>
          <w:spacing w:val="0"/>
          <w:kern w:val="0"/>
          <w:sz w:val="28"/>
          <w:szCs w:val="28"/>
          <w:lang w:val="en-US" w:eastAsia="zh-CN" w:bidi="ar"/>
        </w:rPr>
      </w:pPr>
    </w:p>
    <w:p>
      <w:pPr>
        <w:keepNext w:val="0"/>
        <w:keepLines w:val="0"/>
        <w:widowControl/>
        <w:suppressLineNumbers w:val="0"/>
        <w:spacing w:before="0" w:beforeAutospacing="0" w:after="0" w:afterAutospacing="0"/>
        <w:ind w:left="0" w:right="0" w:firstLine="6160" w:firstLineChars="2200"/>
        <w:jc w:val="left"/>
        <w:rPr>
          <w:rFonts w:hint="eastAsia" w:ascii="仿宋" w:hAnsi="仿宋" w:eastAsia="仿宋" w:cs="仿宋"/>
          <w:color w:val="auto"/>
          <w:sz w:val="28"/>
          <w:szCs w:val="28"/>
        </w:rPr>
      </w:pPr>
      <w:r>
        <w:rPr>
          <w:rFonts w:hint="eastAsia" w:ascii="仿宋" w:hAnsi="仿宋" w:eastAsia="仿宋" w:cs="仿宋"/>
          <w:i w:val="0"/>
          <w:iCs w:val="0"/>
          <w:caps w:val="0"/>
          <w:color w:val="auto"/>
          <w:spacing w:val="0"/>
          <w:kern w:val="0"/>
          <w:sz w:val="28"/>
          <w:szCs w:val="28"/>
          <w:lang w:val="en-US" w:eastAsia="zh-CN" w:bidi="ar"/>
        </w:rPr>
        <w:t>赣州市肿瘤医院</w:t>
      </w:r>
      <w:r>
        <w:rPr>
          <w:rFonts w:hint="eastAsia" w:ascii="仿宋" w:hAnsi="仿宋" w:eastAsia="仿宋" w:cs="仿宋"/>
          <w:i w:val="0"/>
          <w:iCs w:val="0"/>
          <w:caps w:val="0"/>
          <w:color w:val="auto"/>
          <w:spacing w:val="0"/>
          <w:kern w:val="0"/>
          <w:sz w:val="28"/>
          <w:szCs w:val="28"/>
          <w:lang w:val="en-US" w:eastAsia="zh-CN" w:bidi="ar"/>
        </w:rPr>
        <w:br w:type="textWrapping"/>
      </w:r>
      <w:r>
        <w:rPr>
          <w:rFonts w:hint="eastAsia" w:ascii="仿宋" w:hAnsi="仿宋" w:eastAsia="仿宋" w:cs="仿宋"/>
          <w:i w:val="0"/>
          <w:iCs w:val="0"/>
          <w:caps w:val="0"/>
          <w:color w:val="auto"/>
          <w:spacing w:val="0"/>
          <w:kern w:val="0"/>
          <w:sz w:val="28"/>
          <w:szCs w:val="28"/>
          <w:lang w:val="en-US" w:eastAsia="zh-CN" w:bidi="ar"/>
        </w:rPr>
        <w:t>                                                      2022年8月4日</w:t>
      </w:r>
    </w:p>
    <w:p>
      <w:pPr>
        <w:rPr>
          <w:color w:val="auto"/>
        </w:rPr>
      </w:pPr>
    </w:p>
    <w:p>
      <w:pPr>
        <w:rPr>
          <w:rFonts w:hint="eastAsia" w:ascii="仿宋" w:hAnsi="仿宋" w:eastAsia="仿宋" w:cs="仿宋"/>
          <w:color w:val="auto"/>
          <w:sz w:val="28"/>
          <w:szCs w:val="28"/>
        </w:rPr>
      </w:pPr>
    </w:p>
    <w:p>
      <w:pPr>
        <w:widowControl/>
        <w:shd w:val="clear" w:color="auto" w:fill="FFFFFF"/>
        <w:spacing w:line="560" w:lineRule="atLeast"/>
        <w:ind w:firstLine="560"/>
        <w:jc w:val="left"/>
        <w:rPr>
          <w:rFonts w:hint="eastAsia" w:ascii="仿宋" w:hAnsi="仿宋" w:eastAsia="仿宋" w:cs="仿宋"/>
          <w:color w:val="auto"/>
          <w:kern w:val="0"/>
          <w:szCs w:val="21"/>
        </w:rPr>
      </w:pP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4"/>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5"/>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5"/>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5"/>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5"/>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4"/>
        <w:spacing w:before="240" w:after="240"/>
        <w:jc w:val="center"/>
        <w:rPr>
          <w:rFonts w:hint="eastAsia" w:ascii="仿宋" w:hAnsi="仿宋" w:eastAsia="仿宋" w:cs="仿宋"/>
          <w:b/>
          <w:color w:val="auto"/>
          <w:sz w:val="32"/>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5"/>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519"/>
      <w:bookmarkStart w:id="19" w:name="_Toc29202"/>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numId w:val="0"/>
        </w:numPr>
        <w:ind w:leftChars="0"/>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三、项目需求</w:t>
      </w:r>
    </w:p>
    <w:p>
      <w:pPr>
        <w:pStyle w:val="3"/>
        <w:rPr>
          <w:rFonts w:hint="default"/>
          <w:color w:val="auto"/>
          <w:lang w:val="en-US" w:eastAsia="zh-CN"/>
        </w:rPr>
      </w:pPr>
      <w:r>
        <w:rPr>
          <w:rFonts w:hint="eastAsia" w:ascii="仿宋" w:hAnsi="仿宋" w:eastAsia="仿宋" w:cs="仿宋"/>
          <w:color w:val="auto"/>
          <w:kern w:val="0"/>
          <w:sz w:val="32"/>
          <w:szCs w:val="32"/>
          <w:highlight w:val="none"/>
          <w:lang w:val="en-US" w:eastAsia="zh-CN"/>
        </w:rPr>
        <w:t>（一）电子支气管软镜技术参数</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主机技术要求</w:t>
      </w:r>
    </w:p>
    <w:p>
      <w:pPr>
        <w:rPr>
          <w:rFonts w:hint="eastAsia" w:ascii="仿宋" w:hAnsi="仿宋" w:eastAsia="仿宋" w:cs="仿宋"/>
          <w:color w:val="auto"/>
          <w:sz w:val="28"/>
          <w:szCs w:val="28"/>
        </w:rPr>
      </w:pPr>
      <w:r>
        <w:rPr>
          <w:rFonts w:hint="eastAsia" w:ascii="仿宋" w:hAnsi="仿宋" w:eastAsia="仿宋" w:cs="仿宋"/>
          <w:color w:val="auto"/>
          <w:sz w:val="28"/>
          <w:szCs w:val="28"/>
        </w:rPr>
        <w:t>1.采用智能主控芯片，可无缝兼容窥视叶片手柄、硬管手柄、软管手柄，无需转接。</w:t>
      </w:r>
    </w:p>
    <w:p>
      <w:pPr>
        <w:rPr>
          <w:rFonts w:hint="eastAsia" w:ascii="仿宋" w:hAnsi="仿宋" w:eastAsia="仿宋" w:cs="仿宋"/>
          <w:color w:val="auto"/>
          <w:sz w:val="28"/>
          <w:szCs w:val="28"/>
        </w:rPr>
      </w:pPr>
      <w:r>
        <w:rPr>
          <w:rFonts w:hint="eastAsia" w:ascii="仿宋" w:hAnsi="仿宋" w:eastAsia="仿宋" w:cs="仿宋"/>
          <w:color w:val="auto"/>
          <w:sz w:val="28"/>
          <w:szCs w:val="28"/>
        </w:rPr>
        <w:t>2.采用广角高亮显示屏，视场角≥160°。</w:t>
      </w:r>
    </w:p>
    <w:p>
      <w:pPr>
        <w:rPr>
          <w:rFonts w:hint="eastAsia" w:ascii="仿宋" w:hAnsi="仿宋" w:eastAsia="仿宋" w:cs="仿宋"/>
          <w:color w:val="auto"/>
          <w:sz w:val="28"/>
          <w:szCs w:val="28"/>
        </w:rPr>
      </w:pPr>
      <w:r>
        <w:rPr>
          <w:rFonts w:hint="eastAsia" w:ascii="仿宋" w:hAnsi="仿宋" w:eastAsia="仿宋" w:cs="仿宋"/>
          <w:color w:val="auto"/>
          <w:sz w:val="28"/>
          <w:szCs w:val="28"/>
        </w:rPr>
        <w:t>3.主机屏幕≥3.5寸，显示分辨率≥640×480。</w:t>
      </w:r>
    </w:p>
    <w:p>
      <w:pPr>
        <w:rPr>
          <w:rFonts w:hint="eastAsia" w:ascii="仿宋" w:hAnsi="仿宋" w:eastAsia="仿宋" w:cs="仿宋"/>
          <w:color w:val="auto"/>
          <w:sz w:val="28"/>
          <w:szCs w:val="28"/>
        </w:rPr>
      </w:pPr>
      <w:r>
        <w:rPr>
          <w:rFonts w:hint="eastAsia" w:ascii="仿宋" w:hAnsi="仿宋" w:eastAsia="仿宋" w:cs="仿宋"/>
          <w:color w:val="auto"/>
          <w:sz w:val="28"/>
          <w:szCs w:val="28"/>
        </w:rPr>
        <w:t>4.屏幕采用医用电阻触摸屏，通过压力点触，方便医生戴手套操作。</w:t>
      </w:r>
    </w:p>
    <w:p>
      <w:pPr>
        <w:rPr>
          <w:rFonts w:hint="eastAsia" w:ascii="仿宋" w:hAnsi="仿宋" w:eastAsia="仿宋" w:cs="仿宋"/>
          <w:color w:val="auto"/>
          <w:sz w:val="28"/>
          <w:szCs w:val="28"/>
        </w:rPr>
      </w:pPr>
      <w:r>
        <w:rPr>
          <w:rFonts w:hint="eastAsia" w:ascii="仿宋" w:hAnsi="仿宋" w:eastAsia="仿宋" w:cs="仿宋"/>
          <w:color w:val="auto"/>
          <w:sz w:val="28"/>
          <w:szCs w:val="28"/>
        </w:rPr>
        <w:t>5.可通过有线或无线方式外接显示器，实现同屏实时显示传输。</w:t>
      </w:r>
    </w:p>
    <w:p>
      <w:pPr>
        <w:rPr>
          <w:rFonts w:hint="eastAsia" w:ascii="仿宋" w:hAnsi="仿宋" w:eastAsia="仿宋" w:cs="仿宋"/>
          <w:color w:val="auto"/>
          <w:sz w:val="28"/>
          <w:szCs w:val="28"/>
        </w:rPr>
      </w:pPr>
      <w:r>
        <w:rPr>
          <w:rFonts w:hint="eastAsia" w:ascii="仿宋" w:hAnsi="仿宋" w:eastAsia="仿宋" w:cs="仿宋"/>
          <w:color w:val="auto"/>
          <w:sz w:val="28"/>
          <w:szCs w:val="28"/>
        </w:rPr>
        <w:t>6.主机内置多媒体系统，可拍照、录像、录音，可在主机上直接阅读、回放。</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7.具备USB、HDMI输出方式，方便科研、教学。 </w:t>
      </w:r>
    </w:p>
    <w:p>
      <w:pPr>
        <w:rPr>
          <w:rFonts w:hint="eastAsia" w:ascii="仿宋" w:hAnsi="仿宋" w:eastAsia="仿宋" w:cs="仿宋"/>
          <w:color w:val="auto"/>
          <w:sz w:val="28"/>
          <w:szCs w:val="28"/>
        </w:rPr>
      </w:pPr>
      <w:r>
        <w:rPr>
          <w:rFonts w:hint="eastAsia" w:ascii="仿宋" w:hAnsi="仿宋" w:eastAsia="仿宋" w:cs="仿宋"/>
          <w:color w:val="auto"/>
          <w:sz w:val="28"/>
          <w:szCs w:val="28"/>
        </w:rPr>
        <w:t>8.主机内置操作使用视频，方便临床医护人员快速掌握设备使用方法。</w:t>
      </w:r>
    </w:p>
    <w:p>
      <w:pPr>
        <w:rPr>
          <w:rFonts w:hint="eastAsia" w:ascii="仿宋" w:hAnsi="仿宋" w:eastAsia="仿宋" w:cs="仿宋"/>
          <w:color w:val="auto"/>
          <w:sz w:val="28"/>
          <w:szCs w:val="28"/>
        </w:rPr>
      </w:pPr>
      <w:r>
        <w:rPr>
          <w:rFonts w:hint="eastAsia" w:ascii="仿宋" w:hAnsi="仿宋" w:eastAsia="仿宋" w:cs="仿宋"/>
          <w:color w:val="auto"/>
          <w:sz w:val="28"/>
          <w:szCs w:val="28"/>
        </w:rPr>
        <w:t>9.具有户外/户内环境模式，以适应不同插管环境。</w:t>
      </w:r>
    </w:p>
    <w:p>
      <w:pPr>
        <w:rPr>
          <w:rFonts w:hint="eastAsia" w:ascii="仿宋" w:hAnsi="仿宋" w:eastAsia="仿宋" w:cs="仿宋"/>
          <w:color w:val="auto"/>
          <w:sz w:val="28"/>
          <w:szCs w:val="28"/>
        </w:rPr>
      </w:pPr>
      <w:r>
        <w:rPr>
          <w:rFonts w:hint="eastAsia" w:ascii="仿宋" w:hAnsi="仿宋" w:eastAsia="仿宋" w:cs="仿宋"/>
          <w:color w:val="auto"/>
          <w:sz w:val="28"/>
          <w:szCs w:val="28"/>
        </w:rPr>
        <w:t>10.内置锂电池，容量不低于2500mAh，工作时间≥240分钟，具备电量管理功能。</w:t>
      </w:r>
    </w:p>
    <w:p>
      <w:pPr>
        <w:rPr>
          <w:rFonts w:hint="eastAsia" w:ascii="仿宋" w:hAnsi="仿宋" w:eastAsia="仿宋" w:cs="仿宋"/>
          <w:color w:val="auto"/>
          <w:sz w:val="28"/>
          <w:szCs w:val="28"/>
        </w:rPr>
      </w:pPr>
      <w:r>
        <w:rPr>
          <w:rFonts w:hint="eastAsia" w:ascii="仿宋" w:hAnsi="仿宋" w:eastAsia="仿宋" w:cs="仿宋"/>
          <w:color w:val="auto"/>
          <w:sz w:val="28"/>
          <w:szCs w:val="28"/>
        </w:rPr>
        <w:t>11.主机与各种手柄均可带电一键插拔连接、分离，无需旋转，方便临床使用及携带。</w:t>
      </w:r>
    </w:p>
    <w:p>
      <w:pPr>
        <w:rPr>
          <w:rFonts w:hint="eastAsia" w:ascii="仿宋" w:hAnsi="仿宋" w:eastAsia="仿宋" w:cs="仿宋"/>
          <w:color w:val="auto"/>
          <w:sz w:val="28"/>
          <w:szCs w:val="28"/>
        </w:rPr>
      </w:pPr>
      <w:r>
        <w:rPr>
          <w:rFonts w:hint="eastAsia" w:ascii="仿宋" w:hAnsi="仿宋" w:eastAsia="仿宋" w:cs="仿宋"/>
          <w:color w:val="auto"/>
          <w:sz w:val="28"/>
          <w:szCs w:val="28"/>
        </w:rPr>
        <w:t>12.显示器能上下0º～130º转动，左右0º～270º转动，以方便特殊体位的操作。</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软管手柄（含吸引通道）技术要求</w:t>
      </w:r>
    </w:p>
    <w:p>
      <w:pPr>
        <w:rPr>
          <w:rFonts w:hint="eastAsia" w:ascii="仿宋" w:hAnsi="仿宋" w:eastAsia="仿宋" w:cs="仿宋"/>
          <w:color w:val="auto"/>
          <w:sz w:val="28"/>
          <w:szCs w:val="28"/>
        </w:rPr>
      </w:pPr>
      <w:r>
        <w:rPr>
          <w:rFonts w:hint="eastAsia" w:ascii="仿宋" w:hAnsi="仿宋" w:eastAsia="仿宋" w:cs="仿宋"/>
          <w:color w:val="auto"/>
          <w:sz w:val="28"/>
          <w:szCs w:val="28"/>
        </w:rPr>
        <w:t>1.采用数字电子成像技术，无内置光纤，视角≥90°，成像能力≥16万像素。</w:t>
      </w:r>
    </w:p>
    <w:p>
      <w:pPr>
        <w:rPr>
          <w:rFonts w:hint="eastAsia" w:ascii="仿宋" w:hAnsi="仿宋" w:eastAsia="仿宋" w:cs="仿宋"/>
          <w:color w:val="auto"/>
          <w:sz w:val="28"/>
          <w:szCs w:val="28"/>
        </w:rPr>
      </w:pPr>
      <w:r>
        <w:rPr>
          <w:rFonts w:hint="eastAsia" w:ascii="仿宋" w:hAnsi="仿宋" w:eastAsia="仿宋" w:cs="仿宋"/>
          <w:color w:val="auto"/>
          <w:sz w:val="28"/>
          <w:szCs w:val="28"/>
        </w:rPr>
        <w:t>2.采用金属手柄构造，非工程塑料，结实耐用寿命长。</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3.插入部外径≤5.2mm，内置吸引通道直径≥2.6mm,长度≥60cm。  </w:t>
      </w:r>
    </w:p>
    <w:p>
      <w:pPr>
        <w:rPr>
          <w:rFonts w:hint="eastAsia" w:ascii="仿宋" w:hAnsi="仿宋" w:eastAsia="仿宋" w:cs="仿宋"/>
          <w:color w:val="auto"/>
          <w:sz w:val="28"/>
          <w:szCs w:val="28"/>
        </w:rPr>
      </w:pPr>
      <w:r>
        <w:rPr>
          <w:rFonts w:hint="eastAsia" w:ascii="仿宋" w:hAnsi="仿宋" w:eastAsia="仿宋" w:cs="仿宋"/>
          <w:color w:val="auto"/>
          <w:sz w:val="28"/>
          <w:szCs w:val="28"/>
        </w:rPr>
        <w:t>4.软管前端可弯曲角度向上≥130°，向下≥130°。</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5.照明采用两个LED灯，亮度≥400LUX。  </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6.成像距离范围不小于3～50mm。   </w:t>
      </w:r>
    </w:p>
    <w:p>
      <w:pPr>
        <w:rPr>
          <w:rFonts w:hint="eastAsia" w:ascii="仿宋" w:hAnsi="仿宋" w:eastAsia="仿宋" w:cs="仿宋"/>
          <w:color w:val="auto"/>
          <w:sz w:val="28"/>
          <w:szCs w:val="28"/>
        </w:rPr>
      </w:pPr>
      <w:r>
        <w:rPr>
          <w:rFonts w:hint="eastAsia" w:ascii="仿宋" w:hAnsi="仿宋" w:eastAsia="仿宋" w:cs="仿宋"/>
          <w:color w:val="auto"/>
          <w:sz w:val="28"/>
          <w:szCs w:val="28"/>
        </w:rPr>
        <w:t>7.具备防跌落、可任意弯曲性能，可整体浸泡消毒。</w:t>
      </w:r>
    </w:p>
    <w:p>
      <w:pPr>
        <w:rPr>
          <w:rFonts w:hint="eastAsia" w:ascii="仿宋" w:hAnsi="仿宋" w:eastAsia="仿宋" w:cs="仿宋"/>
          <w:color w:val="auto"/>
          <w:sz w:val="28"/>
          <w:szCs w:val="28"/>
        </w:rPr>
      </w:pPr>
      <w:r>
        <w:rPr>
          <w:rFonts w:hint="eastAsia" w:ascii="仿宋" w:hAnsi="仿宋" w:eastAsia="仿宋" w:cs="仿宋"/>
          <w:color w:val="auto"/>
          <w:sz w:val="28"/>
          <w:szCs w:val="28"/>
        </w:rPr>
        <w:t>8.与主机之间的连接方式采用一键插拔，无需旋转，利于临床抢救。</w:t>
      </w:r>
    </w:p>
    <w:p>
      <w:pPr>
        <w:rPr>
          <w:rFonts w:hint="eastAsia" w:ascii="仿宋" w:hAnsi="仿宋" w:eastAsia="仿宋" w:cs="仿宋"/>
          <w:color w:val="auto"/>
          <w:sz w:val="28"/>
          <w:szCs w:val="28"/>
        </w:rPr>
      </w:pPr>
      <w:r>
        <w:rPr>
          <w:rFonts w:hint="eastAsia" w:ascii="仿宋" w:hAnsi="仿宋" w:eastAsia="仿宋" w:cs="仿宋"/>
          <w:color w:val="auto"/>
          <w:sz w:val="28"/>
          <w:szCs w:val="28"/>
        </w:rPr>
        <w:t>9.吸引接口和吸引按键一体化设计，可整体拆卸，方便清洗消毒。</w:t>
      </w:r>
    </w:p>
    <w:p>
      <w:pPr>
        <w:rPr>
          <w:rFonts w:hint="eastAsia" w:ascii="仿宋" w:hAnsi="仿宋" w:eastAsia="仿宋" w:cs="仿宋"/>
          <w:color w:val="auto"/>
          <w:sz w:val="28"/>
          <w:szCs w:val="28"/>
        </w:rPr>
      </w:pPr>
      <w:r>
        <w:rPr>
          <w:rFonts w:hint="eastAsia" w:ascii="仿宋" w:hAnsi="仿宋" w:eastAsia="仿宋" w:cs="仿宋"/>
          <w:color w:val="auto"/>
          <w:sz w:val="28"/>
          <w:szCs w:val="28"/>
        </w:rPr>
        <w:t>10.可以选配无线传输功能模块，用于无线连接大屏幕显示器，方便医生操作、教学。</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t>配置清单</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278"/>
        <w:gridCol w:w="1504"/>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08" w:type="pct"/>
            <w:vAlign w:val="center"/>
          </w:tcPr>
          <w:p>
            <w:pPr>
              <w:ind w:firstLine="0" w:firstLineChars="0"/>
              <w:jc w:val="center"/>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名称</w:t>
            </w:r>
          </w:p>
        </w:tc>
        <w:tc>
          <w:tcPr>
            <w:tcW w:w="882" w:type="pct"/>
            <w:vAlign w:val="center"/>
          </w:tcPr>
          <w:p>
            <w:pPr>
              <w:ind w:firstLine="0" w:firstLineChars="0"/>
              <w:jc w:val="center"/>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单位</w:t>
            </w:r>
          </w:p>
        </w:tc>
        <w:tc>
          <w:tcPr>
            <w:tcW w:w="792" w:type="pct"/>
            <w:vAlign w:val="center"/>
          </w:tcPr>
          <w:p>
            <w:pPr>
              <w:ind w:firstLine="0" w:firstLineChars="0"/>
              <w:jc w:val="center"/>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便携箱</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主机</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台</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软管手柄</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把</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消毒密封塞</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钳道橡皮塞</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吸引按钮</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电源适配器</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数据线</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根</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测漏器</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个</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清洗刷</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根</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2508"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软镜冲洗软管组件</w:t>
            </w:r>
          </w:p>
        </w:tc>
        <w:tc>
          <w:tcPr>
            <w:tcW w:w="88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根</w:t>
            </w:r>
          </w:p>
        </w:tc>
        <w:tc>
          <w:tcPr>
            <w:tcW w:w="792" w:type="pct"/>
            <w:vAlign w:val="center"/>
          </w:tcPr>
          <w:p>
            <w:pPr>
              <w:ind w:firstLine="0" w:firstLineChars="0"/>
              <w:jc w:val="center"/>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rPr>
              <w:t>1</w:t>
            </w:r>
          </w:p>
        </w:tc>
      </w:tr>
    </w:tbl>
    <w:p>
      <w:pPr>
        <w:pStyle w:val="3"/>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二</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商务要求</w:t>
      </w:r>
    </w:p>
    <w:p>
      <w:pPr>
        <w:rPr>
          <w:rFonts w:hint="eastAsia" w:ascii="仿宋" w:hAnsi="仿宋" w:eastAsia="仿宋" w:cs="仿宋"/>
          <w:color w:val="auto"/>
          <w:sz w:val="28"/>
          <w:szCs w:val="28"/>
        </w:rPr>
      </w:pPr>
      <w:r>
        <w:rPr>
          <w:rFonts w:hint="eastAsia" w:ascii="仿宋" w:hAnsi="仿宋" w:eastAsia="仿宋" w:cs="仿宋"/>
          <w:color w:val="auto"/>
          <w:sz w:val="28"/>
          <w:szCs w:val="28"/>
        </w:rPr>
        <w:t>1、交货地点：采购人指定地点。</w:t>
      </w:r>
    </w:p>
    <w:p>
      <w:pPr>
        <w:rPr>
          <w:rFonts w:hint="eastAsia" w:ascii="仿宋" w:hAnsi="仿宋" w:eastAsia="仿宋" w:cs="仿宋"/>
          <w:color w:val="auto"/>
          <w:sz w:val="28"/>
          <w:szCs w:val="28"/>
        </w:rPr>
      </w:pPr>
      <w:r>
        <w:rPr>
          <w:rFonts w:hint="eastAsia" w:ascii="仿宋" w:hAnsi="仿宋" w:eastAsia="仿宋" w:cs="仿宋"/>
          <w:color w:val="auto"/>
          <w:sz w:val="28"/>
          <w:szCs w:val="28"/>
        </w:rPr>
        <w:t>2、交货时间：</w:t>
      </w:r>
      <w:r>
        <w:rPr>
          <w:rFonts w:hint="eastAsia" w:ascii="仿宋" w:hAnsi="仿宋" w:eastAsia="仿宋" w:cs="仿宋"/>
          <w:color w:val="auto"/>
          <w:sz w:val="28"/>
          <w:szCs w:val="28"/>
          <w:highlight w:val="yellow"/>
        </w:rPr>
        <w:t>30天</w:t>
      </w:r>
      <w:r>
        <w:rPr>
          <w:rFonts w:hint="eastAsia" w:ascii="仿宋" w:hAnsi="仿宋" w:eastAsia="仿宋" w:cs="仿宋"/>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本项目为交钥匙工程，成交供应商必须在合同签订后</w:t>
      </w:r>
      <w:r>
        <w:rPr>
          <w:rFonts w:hint="eastAsia" w:ascii="仿宋" w:hAnsi="仿宋" w:eastAsia="仿宋" w:cs="仿宋"/>
          <w:color w:val="auto"/>
          <w:sz w:val="28"/>
          <w:szCs w:val="28"/>
          <w:highlight w:val="yellow"/>
        </w:rPr>
        <w:t>30天</w:t>
      </w:r>
      <w:r>
        <w:rPr>
          <w:rFonts w:hint="eastAsia" w:ascii="仿宋" w:hAnsi="仿宋" w:eastAsia="仿宋" w:cs="仿宋"/>
          <w:color w:val="auto"/>
          <w:sz w:val="28"/>
          <w:szCs w:val="28"/>
        </w:rPr>
        <w:t>内供货、安装、调试，交付使用，并做好相关培训工作。</w:t>
      </w:r>
    </w:p>
    <w:p>
      <w:pPr>
        <w:rPr>
          <w:rFonts w:hint="eastAsia" w:ascii="仿宋" w:hAnsi="仿宋" w:eastAsia="仿宋" w:cs="仿宋"/>
          <w:color w:val="auto"/>
          <w:sz w:val="28"/>
          <w:szCs w:val="28"/>
        </w:rPr>
      </w:pPr>
      <w:r>
        <w:rPr>
          <w:rFonts w:hint="eastAsia" w:ascii="仿宋" w:hAnsi="仿宋" w:eastAsia="仿宋" w:cs="仿宋"/>
          <w:color w:val="auto"/>
          <w:sz w:val="28"/>
          <w:szCs w:val="28"/>
        </w:rPr>
        <w:t>3、验收</w:t>
      </w:r>
    </w:p>
    <w:p>
      <w:pPr>
        <w:rPr>
          <w:rFonts w:hint="eastAsia" w:ascii="仿宋" w:hAnsi="仿宋" w:eastAsia="仿宋" w:cs="仿宋"/>
          <w:color w:val="auto"/>
          <w:sz w:val="28"/>
          <w:szCs w:val="28"/>
        </w:rPr>
      </w:pPr>
      <w:r>
        <w:rPr>
          <w:rFonts w:hint="eastAsia" w:ascii="仿宋" w:hAnsi="仿宋" w:eastAsia="仿宋" w:cs="仿宋"/>
          <w:color w:val="auto"/>
          <w:sz w:val="28"/>
          <w:szCs w:val="28"/>
        </w:rPr>
        <w:t>由采购人进行验收，设备完成安装调试达到可使用状态后试用30天内无故障并收到成交供应商书面验收申请后按成交供应商响应文件逐条进行正式验收。如有必要，可请第三方验收。</w:t>
      </w:r>
    </w:p>
    <w:p>
      <w:pPr>
        <w:rPr>
          <w:rFonts w:hint="eastAsia" w:ascii="仿宋" w:hAnsi="仿宋" w:eastAsia="仿宋" w:cs="仿宋"/>
          <w:color w:val="auto"/>
          <w:sz w:val="28"/>
          <w:szCs w:val="28"/>
        </w:rPr>
      </w:pPr>
      <w:r>
        <w:rPr>
          <w:rFonts w:hint="eastAsia" w:ascii="仿宋" w:hAnsi="仿宋" w:eastAsia="仿宋" w:cs="仿宋"/>
          <w:color w:val="auto"/>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color w:val="auto"/>
          <w:sz w:val="28"/>
          <w:szCs w:val="28"/>
        </w:rPr>
      </w:pPr>
      <w:r>
        <w:rPr>
          <w:rFonts w:hint="eastAsia" w:ascii="仿宋" w:hAnsi="仿宋" w:eastAsia="仿宋" w:cs="仿宋"/>
          <w:color w:val="auto"/>
          <w:sz w:val="28"/>
          <w:szCs w:val="28"/>
        </w:rPr>
        <w:t>（2）试运行：如在试用期间设备发生故障，以故障解决之日起重新计算试用时间，如验收前发生3次及以上设备故障，成交供应商需更换全新设备，更换设备后重新计算试用时间，更换后的设备在试用期仍出现3次及以上设备故障，采购人有权解除合同。</w:t>
      </w:r>
    </w:p>
    <w:p>
      <w:pPr>
        <w:rPr>
          <w:rFonts w:hint="eastAsia" w:ascii="仿宋" w:hAnsi="仿宋" w:eastAsia="仿宋" w:cs="仿宋"/>
          <w:color w:val="auto"/>
          <w:sz w:val="28"/>
          <w:szCs w:val="28"/>
        </w:rPr>
      </w:pPr>
      <w:r>
        <w:rPr>
          <w:rFonts w:hint="eastAsia" w:ascii="仿宋" w:hAnsi="仿宋" w:eastAsia="仿宋" w:cs="仿宋"/>
          <w:color w:val="auto"/>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color w:val="auto"/>
          <w:sz w:val="28"/>
          <w:szCs w:val="28"/>
        </w:rPr>
      </w:pPr>
      <w:r>
        <w:rPr>
          <w:rFonts w:hint="eastAsia" w:ascii="仿宋" w:hAnsi="仿宋" w:eastAsia="仿宋" w:cs="仿宋"/>
          <w:color w:val="auto"/>
          <w:sz w:val="28"/>
          <w:szCs w:val="28"/>
        </w:rPr>
        <w:t>4、售后服务</w:t>
      </w:r>
    </w:p>
    <w:p>
      <w:pPr>
        <w:rPr>
          <w:rFonts w:hint="eastAsia" w:ascii="仿宋" w:hAnsi="仿宋" w:eastAsia="仿宋" w:cs="仿宋"/>
          <w:color w:val="auto"/>
          <w:sz w:val="28"/>
          <w:szCs w:val="28"/>
        </w:rPr>
      </w:pPr>
      <w:r>
        <w:rPr>
          <w:rFonts w:hint="eastAsia" w:ascii="仿宋" w:hAnsi="仿宋" w:eastAsia="仿宋" w:cs="仿宋"/>
          <w:color w:val="auto"/>
          <w:sz w:val="28"/>
          <w:szCs w:val="28"/>
        </w:rPr>
        <w:t>4.1、相关售后服务响应承诺及资料</w:t>
      </w:r>
    </w:p>
    <w:p>
      <w:pPr>
        <w:rPr>
          <w:rFonts w:hint="eastAsia" w:ascii="仿宋" w:hAnsi="仿宋" w:eastAsia="仿宋" w:cs="仿宋"/>
          <w:color w:val="auto"/>
          <w:sz w:val="28"/>
          <w:szCs w:val="28"/>
        </w:rPr>
      </w:pPr>
      <w:r>
        <w:rPr>
          <w:rFonts w:hint="eastAsia" w:ascii="仿宋" w:hAnsi="仿宋" w:eastAsia="仿宋" w:cs="仿宋"/>
          <w:color w:val="auto"/>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color w:val="auto"/>
          <w:sz w:val="28"/>
          <w:szCs w:val="28"/>
        </w:rPr>
      </w:pPr>
      <w:r>
        <w:rPr>
          <w:rFonts w:hint="eastAsia" w:ascii="仿宋" w:hAnsi="仿宋" w:eastAsia="仿宋" w:cs="仿宋"/>
          <w:color w:val="auto"/>
          <w:sz w:val="28"/>
          <w:szCs w:val="28"/>
        </w:rPr>
        <w:t>（2）技术培训：成交供应商应负责对采购人人员进行现场培训，直至采购人人员能完全操作和维护设备。</w:t>
      </w:r>
    </w:p>
    <w:p>
      <w:pPr>
        <w:rPr>
          <w:rFonts w:hint="eastAsia" w:ascii="仿宋" w:hAnsi="仿宋" w:eastAsia="仿宋" w:cs="仿宋"/>
          <w:color w:val="auto"/>
          <w:sz w:val="28"/>
          <w:szCs w:val="28"/>
        </w:rPr>
      </w:pPr>
      <w:r>
        <w:rPr>
          <w:rFonts w:hint="eastAsia" w:ascii="仿宋" w:hAnsi="仿宋" w:eastAsia="仿宋" w:cs="仿宋"/>
          <w:color w:val="auto"/>
          <w:sz w:val="28"/>
          <w:szCs w:val="28"/>
        </w:rPr>
        <w:t>（3）免费质量保证（修）期：所投货物必须提供</w:t>
      </w:r>
      <w:r>
        <w:rPr>
          <w:rFonts w:hint="eastAsia" w:ascii="仿宋" w:hAnsi="仿宋" w:eastAsia="仿宋" w:cs="仿宋"/>
          <w:color w:val="auto"/>
          <w:sz w:val="28"/>
          <w:szCs w:val="28"/>
          <w:highlight w:val="yellow"/>
        </w:rPr>
        <w:t>叁</w:t>
      </w:r>
      <w:r>
        <w:rPr>
          <w:rFonts w:hint="eastAsia" w:ascii="仿宋" w:hAnsi="仿宋" w:eastAsia="仿宋" w:cs="仿宋"/>
          <w:color w:val="auto"/>
          <w:sz w:val="28"/>
          <w:szCs w:val="28"/>
        </w:rPr>
        <w:t>年（含</w:t>
      </w:r>
      <w:r>
        <w:rPr>
          <w:rFonts w:hint="eastAsia" w:ascii="仿宋" w:hAnsi="仿宋" w:eastAsia="仿宋" w:cs="仿宋"/>
          <w:color w:val="auto"/>
          <w:sz w:val="28"/>
          <w:szCs w:val="28"/>
          <w:highlight w:val="yellow"/>
        </w:rPr>
        <w:t>叁</w:t>
      </w:r>
      <w:r>
        <w:rPr>
          <w:rFonts w:hint="eastAsia" w:ascii="仿宋" w:hAnsi="仿宋" w:eastAsia="仿宋" w:cs="仿宋"/>
          <w:color w:val="auto"/>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color w:val="auto"/>
          <w:sz w:val="28"/>
          <w:szCs w:val="28"/>
        </w:rPr>
      </w:pPr>
      <w:r>
        <w:rPr>
          <w:rFonts w:hint="eastAsia" w:ascii="仿宋" w:hAnsi="仿宋" w:eastAsia="仿宋" w:cs="仿宋"/>
          <w:color w:val="auto"/>
          <w:sz w:val="28"/>
          <w:szCs w:val="28"/>
        </w:rPr>
        <w:t>（4）故障响应时间：如果设备发生故障，成交供应商需按照约定的时间处理故障，违约金按到场时间每迟一天，按合同总价的</w:t>
      </w:r>
      <w:r>
        <w:rPr>
          <w:rFonts w:hint="eastAsia" w:ascii="仿宋" w:hAnsi="仿宋" w:eastAsia="仿宋" w:cs="仿宋"/>
          <w:color w:val="auto"/>
          <w:sz w:val="28"/>
          <w:szCs w:val="28"/>
          <w:highlight w:val="yellow"/>
        </w:rPr>
        <w:t>2‰</w:t>
      </w:r>
      <w:r>
        <w:rPr>
          <w:rFonts w:hint="eastAsia" w:ascii="仿宋" w:hAnsi="仿宋" w:eastAsia="仿宋" w:cs="仿宋"/>
          <w:color w:val="auto"/>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color w:val="auto"/>
          <w:sz w:val="28"/>
          <w:szCs w:val="28"/>
        </w:rPr>
      </w:pPr>
      <w:r>
        <w:rPr>
          <w:rFonts w:hint="eastAsia" w:ascii="仿宋" w:hAnsi="仿宋" w:eastAsia="仿宋" w:cs="仿宋"/>
          <w:color w:val="auto"/>
          <w:sz w:val="28"/>
          <w:szCs w:val="28"/>
        </w:rPr>
        <w:t>（5）质保期满后，成交供应商应提供终身维修，用户只付零配件的费用，能长期提供良好的技术支持及零部件的优惠供应。</w:t>
      </w:r>
    </w:p>
    <w:p>
      <w:pPr>
        <w:rPr>
          <w:rFonts w:hint="eastAsia" w:ascii="仿宋" w:hAnsi="仿宋" w:eastAsia="仿宋" w:cs="仿宋"/>
          <w:color w:val="auto"/>
          <w:sz w:val="28"/>
          <w:szCs w:val="28"/>
        </w:rPr>
      </w:pPr>
      <w:r>
        <w:rPr>
          <w:rFonts w:hint="eastAsia" w:ascii="仿宋" w:hAnsi="仿宋" w:eastAsia="仿宋" w:cs="仿宋"/>
          <w:color w:val="auto"/>
          <w:sz w:val="28"/>
          <w:szCs w:val="28"/>
        </w:rPr>
        <w:t>（6）免费开放与医院信息系统对接端口，由制造商或国内授权代理商出具售后服务承诺书。</w:t>
      </w:r>
    </w:p>
    <w:p>
      <w:pPr>
        <w:pStyle w:val="3"/>
        <w:rPr>
          <w:rFonts w:hint="eastAsia" w:ascii="仿宋" w:hAnsi="仿宋" w:eastAsia="仿宋" w:cs="仿宋"/>
          <w:b w:val="0"/>
          <w:bCs/>
          <w:color w:val="auto"/>
          <w:sz w:val="28"/>
          <w:szCs w:val="28"/>
          <w:lang w:val="en-US" w:eastAsia="zh-CN"/>
        </w:rPr>
      </w:pPr>
    </w:p>
    <w:p>
      <w:pPr>
        <w:pStyle w:val="3"/>
        <w:numPr>
          <w:ilvl w:val="0"/>
          <w:numId w:val="0"/>
        </w:numPr>
        <w:ind w:leftChars="0"/>
        <w:rPr>
          <w:rFonts w:hint="default"/>
          <w:color w:val="auto"/>
          <w:lang w:val="en-US" w:eastAsia="zh-CN"/>
        </w:rPr>
      </w:pPr>
    </w:p>
    <w:p>
      <w:pPr>
        <w:spacing w:line="220" w:lineRule="atLeast"/>
        <w:rPr>
          <w:rFonts w:hint="eastAsia" w:ascii="仿宋" w:hAnsi="仿宋" w:eastAsia="仿宋" w:cs="仿宋"/>
          <w:color w:val="auto"/>
        </w:rPr>
      </w:pPr>
      <w:bookmarkStart w:id="21" w:name="_Toc519068587"/>
      <w:bookmarkEnd w:id="21"/>
      <w:bookmarkStart w:id="22" w:name="_Toc5593"/>
      <w:r>
        <w:rPr>
          <w:rFonts w:hint="eastAsia" w:ascii="仿宋" w:hAnsi="仿宋" w:eastAsia="仿宋" w:cs="仿宋"/>
          <w:color w:val="auto"/>
        </w:rPr>
        <w:br w:type="page"/>
      </w:r>
    </w:p>
    <w:p>
      <w:pPr>
        <w:pStyle w:val="4"/>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bookmarkEnd w:id="22"/>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pStyle w:val="9"/>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5"/>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bookmarkStart w:id="23" w:name="_Toc919"/>
      <w:bookmarkStart w:id="24" w:name="_Toc5315"/>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3"/>
      <w:bookmarkEnd w:id="24"/>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rPr>
      </w:pPr>
      <w:bookmarkStart w:id="25" w:name="_Toc19814"/>
      <w:bookmarkStart w:id="26" w:name="_Toc22759"/>
      <w:bookmarkStart w:id="27" w:name="_Toc413396840"/>
      <w:bookmarkStart w:id="28" w:name="_Toc331493648"/>
    </w:p>
    <w:p>
      <w:pPr>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p>
      <w:pPr>
        <w:pStyle w:val="10"/>
        <w:rPr>
          <w:rFonts w:hint="eastAsia" w:ascii="仿宋" w:hAnsi="仿宋" w:eastAsia="仿宋" w:cs="仿宋"/>
          <w:color w:val="auto"/>
          <w:highlight w:val="none"/>
        </w:rPr>
      </w:pPr>
    </w:p>
    <w:bookmarkEnd w:id="25"/>
    <w:bookmarkEnd w:id="26"/>
    <w:bookmarkEnd w:id="27"/>
    <w:bookmarkEnd w:id="28"/>
    <w:p>
      <w:pPr>
        <w:pStyle w:val="5"/>
        <w:rPr>
          <w:rFonts w:hint="eastAsia" w:ascii="仿宋" w:hAnsi="仿宋" w:eastAsia="仿宋" w:cs="仿宋"/>
          <w:color w:val="auto"/>
          <w:kern w:val="0"/>
        </w:rPr>
      </w:pPr>
      <w:bookmarkStart w:id="29" w:name="_Toc485736232"/>
      <w:bookmarkStart w:id="30" w:name="_Toc480191543"/>
      <w:bookmarkStart w:id="31" w:name="_Toc413396845"/>
      <w:bookmarkStart w:id="32" w:name="_Toc331493653"/>
      <w:bookmarkStart w:id="33" w:name="_Toc1161"/>
      <w:bookmarkStart w:id="34" w:name="_Toc6176"/>
      <w:r>
        <w:rPr>
          <w:rFonts w:hint="eastAsia" w:ascii="仿宋" w:hAnsi="仿宋" w:eastAsia="仿宋" w:cs="仿宋"/>
          <w:color w:val="auto"/>
          <w:kern w:val="0"/>
          <w:lang w:val="en-US" w:eastAsia="zh-CN"/>
        </w:rPr>
        <w:t>2</w:t>
      </w:r>
      <w:r>
        <w:rPr>
          <w:rFonts w:hint="eastAsia" w:ascii="仿宋" w:hAnsi="仿宋" w:eastAsia="仿宋" w:cs="仿宋"/>
          <w:color w:val="auto"/>
          <w:kern w:val="0"/>
        </w:rPr>
        <w:t>、 响应货物报价一览表</w:t>
      </w:r>
      <w:bookmarkEnd w:id="29"/>
      <w:bookmarkEnd w:id="30"/>
    </w:p>
    <w:p>
      <w:pPr>
        <w:widowControl/>
        <w:ind w:left="4155" w:leftChars="50" w:hanging="4050" w:hangingChars="1500"/>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xml:space="preserve"> 响应供应商（公章）                                        </w:t>
      </w:r>
      <w:r>
        <w:rPr>
          <w:rFonts w:hint="eastAsia" w:ascii="仿宋" w:hAnsi="仿宋" w:eastAsia="仿宋" w:cs="仿宋"/>
          <w:color w:val="auto"/>
          <w:kern w:val="0"/>
          <w:sz w:val="27"/>
          <w:szCs w:val="27"/>
          <w:lang w:val="en-US" w:eastAsia="zh-CN"/>
        </w:rPr>
        <w:t>项目编号：</w:t>
      </w:r>
      <w:r>
        <w:rPr>
          <w:rFonts w:hint="eastAsia" w:ascii="仿宋" w:hAnsi="仿宋" w:eastAsia="仿宋" w:cs="仿宋"/>
          <w:color w:val="auto"/>
          <w:kern w:val="0"/>
          <w:sz w:val="27"/>
          <w:szCs w:val="27"/>
        </w:rPr>
        <w:t xml:space="preserve">      </w:t>
      </w:r>
    </w:p>
    <w:p>
      <w:pPr>
        <w:pStyle w:val="2"/>
        <w:rPr>
          <w:rFonts w:hint="eastAsia" w:ascii="仿宋" w:hAnsi="仿宋" w:eastAsia="仿宋" w:cs="仿宋"/>
          <w:color w:val="auto"/>
        </w:rPr>
      </w:pPr>
    </w:p>
    <w:tbl>
      <w:tblPr>
        <w:tblStyle w:val="16"/>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单价</w:t>
            </w:r>
          </w:p>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总价</w:t>
            </w:r>
          </w:p>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联系人及电话：</w:t>
      </w:r>
      <w:r>
        <w:rPr>
          <w:rFonts w:hint="eastAsia" w:ascii="仿宋" w:hAnsi="仿宋" w:eastAsia="仿宋" w:cs="仿宋"/>
          <w:color w:val="auto"/>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 时间：          年    月    日</w:t>
      </w:r>
    </w:p>
    <w:p>
      <w:pPr>
        <w:rPr>
          <w:rFonts w:hint="eastAsia" w:ascii="仿宋" w:hAnsi="仿宋" w:eastAsia="仿宋" w:cs="仿宋"/>
          <w:color w:val="auto"/>
          <w:kern w:val="0"/>
        </w:rPr>
      </w:pPr>
    </w:p>
    <w:p>
      <w:pPr>
        <w:rPr>
          <w:rFonts w:hint="eastAsia" w:ascii="仿宋" w:hAnsi="仿宋" w:eastAsia="仿宋" w:cs="仿宋"/>
          <w:color w:val="auto"/>
          <w:kern w:val="0"/>
          <w:sz w:val="27"/>
          <w:szCs w:val="27"/>
        </w:rPr>
      </w:pPr>
      <w:r>
        <w:rPr>
          <w:rFonts w:hint="eastAsia" w:ascii="仿宋" w:hAnsi="仿宋" w:eastAsia="仿宋" w:cs="仿宋"/>
          <w:color w:val="auto"/>
          <w:kern w:val="0"/>
          <w:sz w:val="27"/>
          <w:szCs w:val="27"/>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rPr>
      </w:pPr>
    </w:p>
    <w:p>
      <w:pPr>
        <w:pStyle w:val="5"/>
        <w:spacing w:before="0" w:after="0" w:line="460" w:lineRule="exact"/>
        <w:ind w:firstLine="0"/>
        <w:rPr>
          <w:rFonts w:hint="eastAsia" w:ascii="仿宋" w:hAnsi="仿宋" w:eastAsia="仿宋" w:cs="仿宋"/>
          <w:color w:val="auto"/>
          <w:highlight w:val="none"/>
        </w:rPr>
      </w:pPr>
    </w:p>
    <w:p>
      <w:pPr>
        <w:pStyle w:val="5"/>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p>
      <w:pPr>
        <w:pStyle w:val="5"/>
        <w:spacing w:before="0" w:after="0" w:line="460" w:lineRule="exact"/>
        <w:ind w:firstLine="0"/>
        <w:jc w:val="both"/>
        <w:rPr>
          <w:rFonts w:hint="eastAsia" w:ascii="仿宋" w:hAnsi="仿宋" w:eastAsia="仿宋" w:cs="仿宋"/>
          <w:color w:val="auto"/>
          <w:highlight w:val="none"/>
          <w:lang w:val="en-US" w:eastAsia="zh-CN"/>
        </w:rPr>
      </w:pPr>
    </w:p>
    <w:bookmarkEnd w:id="31"/>
    <w:bookmarkEnd w:id="32"/>
    <w:bookmarkEnd w:id="33"/>
    <w:bookmarkEnd w:id="34"/>
    <w:p>
      <w:pPr>
        <w:pStyle w:val="5"/>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bookmarkStart w:id="35" w:name="_Toc7073"/>
      <w:bookmarkStart w:id="36" w:name="_Toc413396854"/>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3-3、投标人关于具备履行竞争性谈判合同所必需的专业技术能力书面承诺函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法定代表人（或负责人或经营者）授权书（格式）</w:t>
      </w:r>
      <w:bookmarkEnd w:id="35"/>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6"/>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lang w:val="en-US" w:eastAsia="zh-CN"/>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lang w:val="en-US" w:eastAsia="zh-CN"/>
        </w:rPr>
        <w:t>3-5、</w:t>
      </w: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tbl>
      <w:tblPr>
        <w:tblStyle w:val="16"/>
        <w:tblpPr w:leftFromText="180" w:rightFromText="180" w:vertAnchor="text" w:horzAnchor="page" w:tblpX="1796" w:tblpY="69"/>
        <w:tblOverlap w:val="never"/>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tbl>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p>
    <w:p>
      <w:pPr>
        <w:spacing w:line="500" w:lineRule="exact"/>
        <w:ind w:firstLine="3080" w:firstLineChars="1100"/>
        <w:rPr>
          <w:rFonts w:hint="eastAsia" w:ascii="仿宋" w:hAnsi="仿宋" w:eastAsia="仿宋" w:cs="仿宋"/>
          <w:color w:val="auto"/>
          <w:sz w:val="28"/>
          <w:szCs w:val="28"/>
          <w:highlight w:val="none"/>
        </w:rPr>
      </w:pPr>
    </w:p>
    <w:p>
      <w:pPr>
        <w:spacing w:line="500" w:lineRule="exact"/>
        <w:ind w:firstLine="3080" w:firstLineChars="1100"/>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28"/>
          <w:szCs w:val="28"/>
        </w:rPr>
      </w:pPr>
      <w:bookmarkStart w:id="37" w:name="_Toc469749009"/>
      <w:bookmarkStart w:id="38" w:name="_Toc423337566"/>
      <w:bookmarkStart w:id="39" w:name="_Toc5438"/>
      <w:bookmarkStart w:id="40" w:name="_Toc10077"/>
      <w:r>
        <w:rPr>
          <w:rFonts w:hint="eastAsia" w:ascii="仿宋" w:hAnsi="仿宋" w:eastAsia="仿宋" w:cs="仿宋"/>
          <w:b/>
          <w:bCs/>
          <w:color w:val="auto"/>
          <w:sz w:val="28"/>
          <w:szCs w:val="28"/>
        </w:rPr>
        <w:t>3</w:t>
      </w:r>
      <w:r>
        <w:rPr>
          <w:rFonts w:hint="eastAsia" w:ascii="仿宋" w:hAnsi="仿宋" w:eastAsia="仿宋" w:cs="仿宋"/>
          <w:b/>
          <w:bCs/>
          <w:color w:val="auto"/>
          <w:sz w:val="28"/>
          <w:szCs w:val="28"/>
          <w:lang w:val="en-US" w:eastAsia="zh-CN"/>
        </w:rPr>
        <w:t>-6、</w:t>
      </w:r>
      <w:r>
        <w:rPr>
          <w:rFonts w:hint="eastAsia" w:ascii="仿宋" w:hAnsi="仿宋" w:eastAsia="仿宋" w:cs="仿宋"/>
          <w:b/>
          <w:bCs/>
          <w:color w:val="auto"/>
          <w:sz w:val="28"/>
          <w:szCs w:val="28"/>
        </w:rPr>
        <w:t>技术规格响应/偏离表</w:t>
      </w:r>
      <w:bookmarkEnd w:id="37"/>
      <w:bookmarkEnd w:id="38"/>
      <w:bookmarkEnd w:id="39"/>
      <w:bookmarkEnd w:id="40"/>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36"/>
        <w:gridCol w:w="2146"/>
        <w:gridCol w:w="336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4786" w:type="dxa"/>
            <w:gridSpan w:val="3"/>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w:t>
            </w:r>
            <w:r>
              <w:rPr>
                <w:rFonts w:hint="eastAsia" w:ascii="仿宋" w:hAnsi="仿宋" w:eastAsia="仿宋" w:cs="仿宋"/>
                <w:bCs/>
                <w:color w:val="auto"/>
                <w:kern w:val="0"/>
                <w:sz w:val="28"/>
                <w:szCs w:val="28"/>
                <w:lang w:eastAsia="zh-CN"/>
              </w:rPr>
              <w:t>磋商</w:t>
            </w:r>
            <w:r>
              <w:rPr>
                <w:rFonts w:hint="eastAsia" w:ascii="仿宋" w:hAnsi="仿宋" w:eastAsia="仿宋" w:cs="仿宋"/>
                <w:bCs/>
                <w:color w:val="auto"/>
                <w:kern w:val="0"/>
                <w:sz w:val="28"/>
                <w:szCs w:val="28"/>
              </w:rPr>
              <w:t>文件规定填写</w:t>
            </w:r>
          </w:p>
        </w:tc>
        <w:tc>
          <w:tcPr>
            <w:tcW w:w="4842" w:type="dxa"/>
            <w:gridSpan w:val="2"/>
            <w:noWrap w:val="0"/>
            <w:vAlign w:val="center"/>
          </w:tcPr>
          <w:p>
            <w:pPr>
              <w:widowControl/>
              <w:spacing w:line="360" w:lineRule="auto"/>
              <w:jc w:val="center"/>
              <w:rPr>
                <w:rFonts w:hint="eastAsia" w:ascii="仿宋" w:hAnsi="仿宋" w:eastAsia="仿宋" w:cs="仿宋"/>
                <w:color w:val="auto"/>
                <w:kern w:val="0"/>
                <w:sz w:val="28"/>
                <w:szCs w:val="28"/>
              </w:rPr>
            </w:pPr>
            <w:r>
              <w:rPr>
                <w:rFonts w:hint="eastAsia" w:ascii="仿宋" w:hAnsi="仿宋" w:eastAsia="仿宋" w:cs="仿宋"/>
                <w:bCs/>
                <w:color w:val="auto"/>
                <w:kern w:val="0"/>
                <w:sz w:val="28"/>
                <w:szCs w:val="28"/>
              </w:rPr>
              <w:t>按响应供应商实际内容填写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0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93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货物名称</w:t>
            </w:r>
          </w:p>
        </w:tc>
        <w:tc>
          <w:tcPr>
            <w:tcW w:w="214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货物要求及规格</w:t>
            </w:r>
          </w:p>
        </w:tc>
        <w:tc>
          <w:tcPr>
            <w:tcW w:w="336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bCs/>
                <w:color w:val="auto"/>
                <w:kern w:val="0"/>
                <w:sz w:val="28"/>
                <w:szCs w:val="28"/>
              </w:rPr>
              <w:t>货物技术规格及配置描述</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4" w:type="dxa"/>
            <w:noWrap w:val="0"/>
            <w:vAlign w:val="top"/>
          </w:tcPr>
          <w:p>
            <w:pPr>
              <w:spacing w:line="500" w:lineRule="exact"/>
              <w:rPr>
                <w:rFonts w:hint="eastAsia" w:ascii="仿宋" w:hAnsi="仿宋" w:eastAsia="仿宋" w:cs="仿宋"/>
                <w:color w:val="auto"/>
                <w:sz w:val="28"/>
                <w:szCs w:val="28"/>
              </w:rPr>
            </w:pPr>
          </w:p>
        </w:tc>
        <w:tc>
          <w:tcPr>
            <w:tcW w:w="1936" w:type="dxa"/>
            <w:noWrap w:val="0"/>
            <w:vAlign w:val="top"/>
          </w:tcPr>
          <w:p>
            <w:pPr>
              <w:spacing w:line="500" w:lineRule="exact"/>
              <w:rPr>
                <w:rFonts w:hint="eastAsia" w:ascii="仿宋" w:hAnsi="仿宋" w:eastAsia="仿宋" w:cs="仿宋"/>
                <w:color w:val="auto"/>
                <w:sz w:val="28"/>
                <w:szCs w:val="28"/>
              </w:rPr>
            </w:pPr>
          </w:p>
        </w:tc>
        <w:tc>
          <w:tcPr>
            <w:tcW w:w="2146" w:type="dxa"/>
            <w:noWrap w:val="0"/>
            <w:vAlign w:val="top"/>
          </w:tcPr>
          <w:p>
            <w:pPr>
              <w:spacing w:line="500" w:lineRule="exact"/>
              <w:rPr>
                <w:rFonts w:hint="eastAsia" w:ascii="仿宋" w:hAnsi="仿宋" w:eastAsia="仿宋" w:cs="仿宋"/>
                <w:color w:val="auto"/>
                <w:sz w:val="28"/>
                <w:szCs w:val="28"/>
              </w:rPr>
            </w:pPr>
          </w:p>
        </w:tc>
        <w:tc>
          <w:tcPr>
            <w:tcW w:w="336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rPr>
          <w:rFonts w:hint="eastAsia" w:ascii="仿宋" w:hAnsi="仿宋" w:eastAsia="仿宋" w:cs="仿宋"/>
          <w:b/>
          <w:color w:val="auto"/>
          <w:sz w:val="28"/>
          <w:szCs w:val="28"/>
          <w:u w:val="single"/>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法定代表人（单位负责人、经营者）（签字）：                       </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spacing w:line="500" w:lineRule="exact"/>
        <w:ind w:firstLine="560" w:firstLineChars="200"/>
        <w:rPr>
          <w:rFonts w:hint="eastAsia" w:ascii="仿宋" w:hAnsi="仿宋" w:eastAsia="仿宋" w:cs="仿宋"/>
          <w:bCs/>
          <w:color w:val="auto"/>
          <w:sz w:val="28"/>
          <w:szCs w:val="28"/>
          <w:u w:val="single"/>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28"/>
          <w:szCs w:val="28"/>
        </w:rPr>
      </w:pPr>
      <w:bookmarkStart w:id="41" w:name="_Toc29967"/>
      <w:bookmarkStart w:id="42" w:name="_Toc469749010"/>
      <w:bookmarkStart w:id="43" w:name="_Toc423337567"/>
      <w:bookmarkStart w:id="44" w:name="_Toc26723"/>
      <w:r>
        <w:rPr>
          <w:rFonts w:hint="eastAsia" w:ascii="仿宋" w:hAnsi="仿宋" w:eastAsia="仿宋" w:cs="仿宋"/>
          <w:b/>
          <w:bCs/>
          <w:color w:val="auto"/>
          <w:sz w:val="28"/>
          <w:szCs w:val="28"/>
          <w:lang w:val="en-US" w:eastAsia="zh-CN"/>
        </w:rPr>
        <w:t>3-7、</w:t>
      </w:r>
      <w:r>
        <w:rPr>
          <w:rFonts w:hint="eastAsia" w:ascii="仿宋" w:hAnsi="仿宋" w:eastAsia="仿宋" w:cs="仿宋"/>
          <w:b/>
          <w:bCs/>
          <w:color w:val="auto"/>
          <w:sz w:val="28"/>
          <w:szCs w:val="28"/>
        </w:rPr>
        <w:t>商务条款响应/偏离表</w:t>
      </w:r>
      <w:bookmarkEnd w:id="41"/>
      <w:bookmarkEnd w:id="42"/>
      <w:bookmarkEnd w:id="43"/>
      <w:bookmarkEnd w:id="44"/>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响应供应商名称：</w:t>
      </w:r>
      <w:r>
        <w:rPr>
          <w:rFonts w:hint="eastAsia" w:ascii="仿宋" w:hAnsi="仿宋" w:eastAsia="仿宋" w:cs="仿宋"/>
          <w:color w:val="auto"/>
          <w:sz w:val="28"/>
          <w:szCs w:val="28"/>
          <w:u w:val="single"/>
        </w:rPr>
        <w:t xml:space="preserve">               </w:t>
      </w:r>
    </w:p>
    <w:p>
      <w:pPr>
        <w:spacing w:line="500" w:lineRule="exact"/>
        <w:ind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rPr>
        <w:t>采购编号：</w:t>
      </w:r>
      <w:r>
        <w:rPr>
          <w:rFonts w:hint="eastAsia" w:ascii="仿宋" w:hAnsi="仿宋" w:eastAsia="仿宋" w:cs="仿宋"/>
          <w:color w:val="auto"/>
          <w:sz w:val="28"/>
          <w:szCs w:val="28"/>
          <w:u w:val="single"/>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096"/>
        <w:gridCol w:w="282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34"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309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磋商</w:t>
            </w:r>
            <w:r>
              <w:rPr>
                <w:rFonts w:hint="eastAsia" w:ascii="仿宋" w:hAnsi="仿宋" w:eastAsia="仿宋" w:cs="仿宋"/>
                <w:color w:val="auto"/>
                <w:sz w:val="28"/>
                <w:szCs w:val="28"/>
              </w:rPr>
              <w:t>文件的商务条款</w:t>
            </w:r>
          </w:p>
        </w:tc>
        <w:tc>
          <w:tcPr>
            <w:tcW w:w="282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响应文件的商务条款</w:t>
            </w:r>
          </w:p>
        </w:tc>
        <w:tc>
          <w:tcPr>
            <w:tcW w:w="1476" w:type="dxa"/>
            <w:noWrap w:val="0"/>
            <w:vAlign w:val="center"/>
          </w:tcPr>
          <w:p>
            <w:pPr>
              <w:spacing w:line="5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834" w:type="dxa"/>
            <w:noWrap w:val="0"/>
            <w:vAlign w:val="top"/>
          </w:tcPr>
          <w:p>
            <w:pPr>
              <w:spacing w:line="500" w:lineRule="exact"/>
              <w:rPr>
                <w:rFonts w:hint="eastAsia" w:ascii="仿宋" w:hAnsi="仿宋" w:eastAsia="仿宋" w:cs="仿宋"/>
                <w:color w:val="auto"/>
                <w:sz w:val="28"/>
                <w:szCs w:val="28"/>
              </w:rPr>
            </w:pPr>
          </w:p>
        </w:tc>
        <w:tc>
          <w:tcPr>
            <w:tcW w:w="3096" w:type="dxa"/>
            <w:noWrap w:val="0"/>
            <w:vAlign w:val="top"/>
          </w:tcPr>
          <w:p>
            <w:pPr>
              <w:spacing w:line="500" w:lineRule="exact"/>
              <w:rPr>
                <w:rFonts w:hint="eastAsia" w:ascii="仿宋" w:hAnsi="仿宋" w:eastAsia="仿宋" w:cs="仿宋"/>
                <w:color w:val="auto"/>
                <w:sz w:val="28"/>
                <w:szCs w:val="28"/>
              </w:rPr>
            </w:pPr>
          </w:p>
        </w:tc>
        <w:tc>
          <w:tcPr>
            <w:tcW w:w="2826" w:type="dxa"/>
            <w:noWrap w:val="0"/>
            <w:vAlign w:val="top"/>
          </w:tcPr>
          <w:p>
            <w:pPr>
              <w:spacing w:line="500" w:lineRule="exact"/>
              <w:rPr>
                <w:rFonts w:hint="eastAsia" w:ascii="仿宋" w:hAnsi="仿宋" w:eastAsia="仿宋" w:cs="仿宋"/>
                <w:color w:val="auto"/>
                <w:sz w:val="28"/>
                <w:szCs w:val="28"/>
              </w:rPr>
            </w:pPr>
          </w:p>
        </w:tc>
        <w:tc>
          <w:tcPr>
            <w:tcW w:w="1476" w:type="dxa"/>
            <w:noWrap w:val="0"/>
            <w:vAlign w:val="top"/>
          </w:tcPr>
          <w:p>
            <w:pPr>
              <w:spacing w:line="500" w:lineRule="exact"/>
              <w:rPr>
                <w:rFonts w:hint="eastAsia" w:ascii="仿宋" w:hAnsi="仿宋" w:eastAsia="仿宋" w:cs="仿宋"/>
                <w:color w:val="auto"/>
                <w:sz w:val="28"/>
                <w:szCs w:val="28"/>
              </w:rPr>
            </w:pPr>
          </w:p>
        </w:tc>
      </w:tr>
    </w:tbl>
    <w:p>
      <w:pPr>
        <w:spacing w:line="500" w:lineRule="exact"/>
        <w:ind w:firstLine="562" w:firstLineChars="200"/>
        <w:rPr>
          <w:rFonts w:hint="eastAsia" w:ascii="仿宋" w:hAnsi="仿宋" w:eastAsia="仿宋" w:cs="仿宋"/>
          <w:b/>
          <w:color w:val="auto"/>
          <w:sz w:val="28"/>
          <w:szCs w:val="28"/>
        </w:rPr>
      </w:pPr>
      <w:r>
        <w:rPr>
          <w:rFonts w:hint="eastAsia" w:ascii="仿宋" w:hAnsi="仿宋" w:eastAsia="仿宋" w:cs="仿宋"/>
          <w:b/>
          <w:color w:val="auto"/>
          <w:sz w:val="28"/>
          <w:szCs w:val="28"/>
        </w:rPr>
        <w:t>注：商务条款包括交货期、付款方式、质保期、售后服务等内容。</w:t>
      </w:r>
    </w:p>
    <w:p>
      <w:pPr>
        <w:spacing w:line="500" w:lineRule="exact"/>
        <w:ind w:firstLine="560" w:firstLineChars="200"/>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法定代表人（单位负责人、经营者）（签字）：</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响应供应商名称（公章）：</w:t>
      </w:r>
    </w:p>
    <w:p>
      <w:pPr>
        <w:pStyle w:val="2"/>
        <w:rPr>
          <w:rFonts w:hint="eastAsia" w:ascii="仿宋" w:hAnsi="仿宋" w:eastAsia="仿宋" w:cs="仿宋"/>
          <w:color w:val="auto"/>
          <w:sz w:val="28"/>
          <w:szCs w:val="28"/>
        </w:rPr>
      </w:pPr>
    </w:p>
    <w:p>
      <w:pPr>
        <w:spacing w:line="500" w:lineRule="exact"/>
        <w:ind w:firstLine="560" w:firstLineChars="200"/>
        <w:rPr>
          <w:rFonts w:hint="eastAsia" w:ascii="仿宋" w:hAnsi="仿宋" w:eastAsia="仿宋" w:cs="仿宋"/>
          <w:bCs/>
          <w:color w:val="auto"/>
          <w:sz w:val="28"/>
          <w:szCs w:val="28"/>
          <w:u w:val="single"/>
        </w:rPr>
      </w:pPr>
      <w:r>
        <w:rPr>
          <w:rFonts w:hint="eastAsia" w:ascii="仿宋" w:hAnsi="仿宋" w:eastAsia="仿宋" w:cs="仿宋"/>
          <w:bCs/>
          <w:color w:val="auto"/>
          <w:sz w:val="28"/>
          <w:szCs w:val="28"/>
          <w:u w:val="single"/>
        </w:rPr>
        <w:t>说明：无论有无偏离，响应供应商均应填写此表。如无偏离，则应写“无”；如有偏离，则应对偏离的情况详细填写。否则，作无效响应处理。</w:t>
      </w:r>
    </w:p>
    <w:p>
      <w:pPr>
        <w:ind w:firstLine="0"/>
        <w:jc w:val="center"/>
        <w:rPr>
          <w:rStyle w:val="40"/>
          <w:rFonts w:hint="eastAsia" w:ascii="仿宋" w:hAnsi="仿宋" w:eastAsia="仿宋" w:cs="仿宋"/>
          <w:b/>
          <w:color w:val="auto"/>
          <w:sz w:val="28"/>
          <w:szCs w:val="28"/>
        </w:rPr>
      </w:pPr>
      <w:r>
        <w:rPr>
          <w:rStyle w:val="40"/>
          <w:rFonts w:hint="eastAsia" w:ascii="仿宋" w:hAnsi="仿宋" w:eastAsia="仿宋" w:cs="仿宋"/>
          <w:b/>
          <w:color w:val="auto"/>
          <w:sz w:val="28"/>
          <w:szCs w:val="28"/>
          <w:lang w:val="en-US" w:eastAsia="zh-CN"/>
        </w:rPr>
        <w:t>3-8、</w:t>
      </w:r>
      <w:r>
        <w:rPr>
          <w:rStyle w:val="40"/>
          <w:rFonts w:hint="eastAsia" w:ascii="仿宋" w:hAnsi="仿宋" w:eastAsia="仿宋" w:cs="仿宋"/>
          <w:b/>
          <w:color w:val="auto"/>
          <w:sz w:val="28"/>
          <w:szCs w:val="28"/>
        </w:rPr>
        <w:t>响应供应商关于无重大违法记录书面声明函</w:t>
      </w:r>
    </w:p>
    <w:p>
      <w:pPr>
        <w:ind w:firstLine="0"/>
        <w:jc w:val="center"/>
        <w:rPr>
          <w:rStyle w:val="40"/>
          <w:rFonts w:hint="eastAsia" w:ascii="仿宋" w:hAnsi="仿宋" w:eastAsia="仿宋" w:cs="仿宋"/>
          <w:b/>
          <w:color w:val="auto"/>
          <w:sz w:val="28"/>
          <w:szCs w:val="28"/>
        </w:rPr>
      </w:pPr>
      <w:r>
        <w:rPr>
          <w:rStyle w:val="40"/>
          <w:rFonts w:hint="eastAsia" w:ascii="仿宋" w:hAnsi="仿宋" w:eastAsia="仿宋" w:cs="仿宋"/>
          <w:b/>
          <w:color w:val="auto"/>
          <w:sz w:val="28"/>
          <w:szCs w:val="28"/>
        </w:rPr>
        <w:t>（格式）</w:t>
      </w:r>
    </w:p>
    <w:p>
      <w:pPr>
        <w:snapToGrid w:val="0"/>
        <w:spacing w:line="360" w:lineRule="auto"/>
        <w:ind w:firstLine="0"/>
        <w:jc w:val="left"/>
        <w:rPr>
          <w:rStyle w:val="40"/>
          <w:rFonts w:hint="eastAsia" w:ascii="仿宋" w:hAnsi="仿宋" w:eastAsia="仿宋" w:cs="仿宋"/>
          <w:color w:val="auto"/>
          <w:sz w:val="28"/>
          <w:szCs w:val="28"/>
          <w:lang w:val="en-US" w:eastAsia="zh-CN"/>
        </w:rPr>
      </w:pPr>
      <w:r>
        <w:rPr>
          <w:rStyle w:val="40"/>
          <w:rFonts w:hint="eastAsia" w:ascii="仿宋" w:hAnsi="仿宋" w:eastAsia="仿宋" w:cs="仿宋"/>
          <w:color w:val="auto"/>
          <w:sz w:val="28"/>
          <w:szCs w:val="28"/>
        </w:rPr>
        <w:t>致：</w:t>
      </w:r>
      <w:r>
        <w:rPr>
          <w:rStyle w:val="40"/>
          <w:rFonts w:hint="eastAsia" w:ascii="仿宋" w:hAnsi="仿宋" w:eastAsia="仿宋" w:cs="仿宋"/>
          <w:color w:val="auto"/>
          <w:sz w:val="28"/>
          <w:szCs w:val="28"/>
          <w:lang w:val="en-US" w:eastAsia="zh-CN"/>
        </w:rPr>
        <w:t>赣州市肿瘤医院</w:t>
      </w:r>
    </w:p>
    <w:p>
      <w:pPr>
        <w:snapToGrid w:val="0"/>
        <w:spacing w:line="360" w:lineRule="auto"/>
        <w:ind w:firstLine="560" w:firstLineChars="200"/>
        <w:jc w:val="left"/>
        <w:rPr>
          <w:rStyle w:val="40"/>
          <w:rFonts w:hint="eastAsia" w:ascii="仿宋" w:hAnsi="仿宋" w:eastAsia="仿宋" w:cs="仿宋"/>
          <w:color w:val="auto"/>
          <w:sz w:val="28"/>
          <w:szCs w:val="28"/>
        </w:rPr>
      </w:pP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响应供应商名称在参加本次政府采购活动前三年内，在经营活动中没有因违法经营受到刑事处罚或者责令停产停业、吊销许可证或者执照、较大数额罚款等重大违法记录。</w:t>
      </w:r>
    </w:p>
    <w:p>
      <w:pPr>
        <w:snapToGrid w:val="0"/>
        <w:spacing w:line="360" w:lineRule="auto"/>
        <w:ind w:firstLine="560" w:firstLineChars="20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特此声明。</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                                响应供应商名称（公章） </w:t>
      </w:r>
    </w:p>
    <w:p>
      <w:pPr>
        <w:spacing w:before="100" w:beforeAutospacing="1" w:after="100" w:afterAutospacing="1" w:line="500" w:lineRule="exact"/>
        <w:ind w:firstLine="540"/>
        <w:jc w:val="left"/>
        <w:rPr>
          <w:rStyle w:val="40"/>
          <w:rFonts w:hint="eastAsia" w:ascii="仿宋" w:hAnsi="仿宋" w:eastAsia="仿宋" w:cs="仿宋"/>
          <w:color w:val="auto"/>
          <w:sz w:val="28"/>
          <w:szCs w:val="28"/>
        </w:rPr>
      </w:pPr>
    </w:p>
    <w:p>
      <w:pPr>
        <w:spacing w:before="100" w:beforeAutospacing="1" w:after="100" w:afterAutospacing="1" w:line="500" w:lineRule="exact"/>
        <w:ind w:firstLine="540"/>
        <w:jc w:val="righ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 xml:space="preserve">响应供应商代表（签字或盖章）：   </w:t>
      </w:r>
    </w:p>
    <w:p>
      <w:pPr>
        <w:spacing w:before="100" w:beforeAutospacing="1" w:after="100" w:afterAutospacing="1" w:line="500" w:lineRule="exact"/>
        <w:ind w:firstLine="5130"/>
        <w:jc w:val="left"/>
        <w:rPr>
          <w:rStyle w:val="40"/>
          <w:rFonts w:hint="eastAsia" w:ascii="仿宋" w:hAnsi="仿宋" w:eastAsia="仿宋" w:cs="仿宋"/>
          <w:color w:val="auto"/>
          <w:sz w:val="28"/>
          <w:szCs w:val="28"/>
        </w:rPr>
      </w:pPr>
      <w:r>
        <w:rPr>
          <w:rStyle w:val="40"/>
          <w:rFonts w:hint="eastAsia" w:ascii="仿宋" w:hAnsi="仿宋" w:eastAsia="仿宋" w:cs="仿宋"/>
          <w:color w:val="auto"/>
          <w:sz w:val="28"/>
          <w:szCs w:val="28"/>
        </w:rPr>
        <w:t>年   月   日</w:t>
      </w: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pStyle w:val="3"/>
        <w:rPr>
          <w:rFonts w:hint="eastAsia" w:ascii="仿宋" w:hAnsi="仿宋" w:eastAsia="仿宋" w:cs="仿宋"/>
          <w:color w:val="auto"/>
          <w:sz w:val="28"/>
          <w:szCs w:val="28"/>
          <w:highlight w:val="none"/>
        </w:rPr>
      </w:pPr>
    </w:p>
    <w:p>
      <w:pPr>
        <w:keepNext/>
        <w:keepLines/>
        <w:spacing w:before="260" w:after="260" w:line="413" w:lineRule="auto"/>
        <w:jc w:val="center"/>
        <w:outlineLvl w:val="1"/>
        <w:rPr>
          <w:rFonts w:hint="eastAsia" w:ascii="仿宋" w:hAnsi="仿宋" w:eastAsia="仿宋" w:cs="仿宋"/>
          <w:b/>
          <w:bCs/>
          <w:color w:val="auto"/>
          <w:sz w:val="32"/>
          <w:szCs w:val="32"/>
        </w:rPr>
      </w:pPr>
      <w:bookmarkStart w:id="45" w:name="_Toc17814"/>
      <w:bookmarkStart w:id="46" w:name="_Toc469749015"/>
      <w:r>
        <w:rPr>
          <w:rFonts w:hint="eastAsia" w:ascii="仿宋" w:hAnsi="仿宋" w:eastAsia="仿宋" w:cs="仿宋"/>
          <w:b/>
          <w:bCs/>
          <w:color w:val="auto"/>
          <w:sz w:val="32"/>
          <w:szCs w:val="32"/>
          <w:lang w:val="en-US" w:eastAsia="zh-CN"/>
        </w:rPr>
        <w:t>3-9、</w:t>
      </w:r>
      <w:r>
        <w:rPr>
          <w:rFonts w:hint="eastAsia" w:ascii="仿宋" w:hAnsi="仿宋" w:eastAsia="仿宋" w:cs="仿宋"/>
          <w:b/>
          <w:bCs/>
          <w:color w:val="auto"/>
          <w:sz w:val="32"/>
          <w:szCs w:val="32"/>
        </w:rPr>
        <w:t>依法缴纳税收证明</w:t>
      </w:r>
      <w:bookmarkEnd w:id="45"/>
      <w:bookmarkEnd w:id="46"/>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说明：1、依法缴纳税收证明是指由响应供应商税务登记证和开启截止时间前100日内缴纳增值税的凭据（有依法征收部门印章，税务部门另有规定的，从其规定）；</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2、其他组织也需要提供缴纳税收的凭据；</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3、依法免税的响应供应商，须提供相应文件证明其依法免税；</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响应供应商在响应文件中提供依法缴纳税收证明或免税证明（免税证明包含但不限于税务部门出具的证明材料或响应供应商未达到缴纳税收限额标准的加盖响应供应商公章的声明函）其中之一复印件加盖印章即可。（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440" w:lineRule="exact"/>
        <w:ind w:firstLine="540" w:firstLineChars="200"/>
        <w:rPr>
          <w:rFonts w:hint="eastAsia" w:ascii="仿宋" w:hAnsi="仿宋" w:eastAsia="仿宋" w:cs="仿宋"/>
          <w:color w:val="auto"/>
          <w:sz w:val="27"/>
          <w:szCs w:val="27"/>
        </w:rPr>
      </w:pPr>
    </w:p>
    <w:p>
      <w:pPr>
        <w:pStyle w:val="2"/>
        <w:rPr>
          <w:rFonts w:hint="eastAsia" w:ascii="仿宋" w:hAnsi="仿宋" w:eastAsia="仿宋" w:cs="仿宋"/>
          <w:color w:val="auto"/>
          <w:sz w:val="27"/>
          <w:szCs w:val="27"/>
        </w:rPr>
      </w:pPr>
    </w:p>
    <w:p>
      <w:pPr>
        <w:pStyle w:val="5"/>
        <w:rPr>
          <w:rFonts w:hint="eastAsia" w:ascii="仿宋" w:hAnsi="仿宋" w:eastAsia="仿宋" w:cs="仿宋"/>
          <w:b w:val="0"/>
          <w:bCs w:val="0"/>
          <w:color w:val="auto"/>
        </w:rPr>
      </w:pPr>
      <w:bookmarkStart w:id="47" w:name="_Toc24506"/>
      <w:bookmarkStart w:id="48" w:name="_Toc423337572"/>
      <w:bookmarkStart w:id="49" w:name="_Toc469749016"/>
    </w:p>
    <w:p>
      <w:pPr>
        <w:pStyle w:val="5"/>
        <w:rPr>
          <w:rFonts w:hint="eastAsia" w:ascii="仿宋" w:hAnsi="仿宋" w:eastAsia="仿宋" w:cs="仿宋"/>
          <w:b w:val="0"/>
          <w:bCs w:val="0"/>
          <w:color w:val="auto"/>
        </w:rPr>
      </w:pPr>
    </w:p>
    <w:p>
      <w:pPr>
        <w:pStyle w:val="5"/>
        <w:rPr>
          <w:rFonts w:hint="eastAsia" w:ascii="仿宋" w:hAnsi="仿宋" w:eastAsia="仿宋" w:cs="仿宋"/>
          <w:b w:val="0"/>
          <w:bCs w:val="0"/>
          <w:color w:val="auto"/>
        </w:rPr>
      </w:pPr>
    </w:p>
    <w:bookmarkEnd w:id="47"/>
    <w:bookmarkEnd w:id="48"/>
    <w:bookmarkEnd w:id="49"/>
    <w:p>
      <w:pPr>
        <w:pStyle w:val="5"/>
        <w:ind w:left="0" w:leftChars="0" w:firstLine="0" w:firstLineChars="0"/>
        <w:jc w:val="both"/>
        <w:rPr>
          <w:rFonts w:hint="eastAsia" w:ascii="仿宋" w:hAnsi="仿宋" w:eastAsia="仿宋" w:cs="仿宋"/>
          <w:b w:val="0"/>
          <w:bCs w:val="0"/>
          <w:color w:val="auto"/>
          <w:lang w:val="en-US" w:eastAsia="zh-CN"/>
        </w:rPr>
      </w:pPr>
    </w:p>
    <w:p>
      <w:pPr>
        <w:pStyle w:val="5"/>
        <w:ind w:left="0" w:leftChars="0" w:firstLine="0" w:firstLineChars="0"/>
        <w:jc w:val="both"/>
        <w:rPr>
          <w:rFonts w:hint="eastAsia" w:ascii="仿宋" w:hAnsi="仿宋" w:eastAsia="仿宋" w:cs="仿宋"/>
          <w:b w:val="0"/>
          <w:bCs w:val="0"/>
          <w:color w:val="auto"/>
          <w:lang w:val="en-US" w:eastAsia="zh-CN"/>
        </w:rPr>
      </w:pPr>
    </w:p>
    <w:p>
      <w:pPr>
        <w:pStyle w:val="3"/>
        <w:rPr>
          <w:rFonts w:hint="eastAsia" w:ascii="仿宋" w:hAnsi="仿宋" w:eastAsia="仿宋" w:cs="仿宋"/>
          <w:color w:val="auto"/>
          <w:sz w:val="28"/>
          <w:szCs w:val="28"/>
          <w:highlight w:val="none"/>
        </w:rPr>
      </w:pPr>
    </w:p>
    <w:p>
      <w:pPr>
        <w:pStyle w:val="5"/>
        <w:ind w:left="0" w:leftChars="0" w:firstLine="0" w:firstLineChars="0"/>
        <w:jc w:val="both"/>
        <w:rPr>
          <w:rFonts w:hint="eastAsia" w:ascii="仿宋" w:hAnsi="仿宋" w:eastAsia="仿宋" w:cs="仿宋"/>
          <w:color w:val="auto"/>
          <w:sz w:val="26"/>
          <w:szCs w:val="26"/>
        </w:rPr>
      </w:pPr>
      <w:r>
        <w:rPr>
          <w:rFonts w:hint="eastAsia" w:ascii="仿宋" w:hAnsi="仿宋" w:eastAsia="仿宋" w:cs="仿宋"/>
          <w:b w:val="0"/>
          <w:bCs w:val="0"/>
          <w:color w:val="auto"/>
          <w:lang w:val="en-US" w:eastAsia="zh-CN"/>
        </w:rPr>
        <w:t>3-10、</w:t>
      </w:r>
      <w:r>
        <w:rPr>
          <w:rFonts w:hint="eastAsia" w:ascii="仿宋" w:hAnsi="仿宋" w:eastAsia="仿宋" w:cs="仿宋"/>
          <w:b w:val="0"/>
          <w:bCs w:val="0"/>
          <w:color w:val="auto"/>
        </w:rPr>
        <w:t>依法缴纳社会保障资金的相关材料</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1、依法缴纳社会保障资金证明材料包括：专用收据或社会保险缴纳清单（有依法征收部门印章，响应供应商所在地社保部门另有规定的，从其规定）；</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2、专用收据或社会保险缴纳清单必须是开启截止时间前90日内的证明材料；</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3、其他组织也需要提供缴纳社会保险的凭据（专用收据或社会保险缴纳清单）</w:t>
      </w:r>
    </w:p>
    <w:p>
      <w:pPr>
        <w:spacing w:line="44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4、不需要缴纳社会保障资金的响应供应商，须提供相应文件证明不需要缴纳社会保障资金。</w:t>
      </w:r>
    </w:p>
    <w:p>
      <w:pPr>
        <w:spacing w:line="440" w:lineRule="exact"/>
        <w:ind w:firstLine="562" w:firstLineChars="200"/>
        <w:rPr>
          <w:rFonts w:hint="eastAsia" w:ascii="仿宋" w:hAnsi="仿宋" w:eastAsia="仿宋" w:cs="仿宋"/>
          <w:color w:val="auto"/>
          <w:sz w:val="28"/>
          <w:szCs w:val="28"/>
        </w:rPr>
      </w:pPr>
      <w:r>
        <w:rPr>
          <w:rFonts w:hint="eastAsia" w:ascii="仿宋" w:hAnsi="仿宋" w:eastAsia="仿宋" w:cs="仿宋"/>
          <w:b/>
          <w:bCs/>
          <w:color w:val="auto"/>
          <w:sz w:val="28"/>
          <w:szCs w:val="28"/>
        </w:rPr>
        <w:t>5、委托代理人必须依法缴纳社保。</w:t>
      </w:r>
      <w:r>
        <w:rPr>
          <w:rFonts w:hint="eastAsia" w:ascii="仿宋" w:hAnsi="仿宋" w:eastAsia="仿宋" w:cs="仿宋"/>
          <w:color w:val="auto"/>
          <w:sz w:val="28"/>
          <w:szCs w:val="28"/>
        </w:rPr>
        <w:t>（须提供含有委托代理人姓名的社会保险缴纳清单或委托代理人基本养老保险个人账户对账单，如委托代理人不需要缴纳社会保险，则须提供证明材料）</w:t>
      </w:r>
    </w:p>
    <w:p>
      <w:pPr>
        <w:spacing w:line="500" w:lineRule="exact"/>
        <w:ind w:right="540"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当上述证件可以通过互联网或者相关信息系统查询的信息时，仅提供查询网址即可，无需提供证件复印件，但查询网址必须书面体现在响应文件中，否则导致的不利后果由响应供应商自行承担，因新冠肺炎疫情影响而导致有效期到期而无法办理新证、年检等，有效期自动顺延，恢复办理的除外)</w:t>
      </w:r>
    </w:p>
    <w:p>
      <w:pPr>
        <w:spacing w:line="500" w:lineRule="exact"/>
        <w:ind w:firstLine="3080" w:firstLineChars="1100"/>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bookmarkEnd w:id="36"/>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D05AFFC4"/>
    <w:multiLevelType w:val="singleLevel"/>
    <w:tmpl w:val="D05AFFC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6">
    <w:name w:val="heading 3"/>
    <w:basedOn w:val="1"/>
    <w:next w:val="1"/>
    <w:semiHidden/>
    <w:unhideWhenUsed/>
    <w:qFormat/>
    <w:uiPriority w:val="0"/>
    <w:pPr>
      <w:jc w:val="left"/>
      <w:outlineLvl w:val="2"/>
    </w:pPr>
    <w:rPr>
      <w:rFonts w:hint="eastAsia" w:ascii="宋体" w:hAnsi="宋体"/>
      <w:b/>
      <w:kern w:val="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Arial" w:hAnsi="Arial" w:eastAsia="楷体_GB2312"/>
      <w:b/>
      <w:lang w:eastAsia="en-US"/>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Strong"/>
    <w:basedOn w:val="18"/>
    <w:qFormat/>
    <w:uiPriority w:val="0"/>
    <w:rPr>
      <w:b/>
      <w:sz w:val="24"/>
      <w:szCs w:val="24"/>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dr w:val="single" w:color="D6D6D6" w:sz="6" w:space="0"/>
      <w:shd w:val="clear" w:color="auto" w:fill="F9F9F9"/>
    </w:rPr>
  </w:style>
  <w:style w:type="character" w:styleId="23">
    <w:name w:val="HTML Definition"/>
    <w:basedOn w:val="18"/>
    <w:qFormat/>
    <w:uiPriority w:val="0"/>
    <w:rPr>
      <w:color w:val="FFFFFF"/>
      <w:shd w:val="clear" w:color="auto" w:fill="048FD2"/>
    </w:rPr>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style>
  <w:style w:type="character" w:styleId="26">
    <w:name w:val="HTML Variable"/>
    <w:basedOn w:val="18"/>
    <w:qFormat/>
    <w:uiPriority w:val="0"/>
  </w:style>
  <w:style w:type="character" w:styleId="27">
    <w:name w:val="Hyperlink"/>
    <w:basedOn w:val="18"/>
    <w:qFormat/>
    <w:uiPriority w:val="0"/>
    <w:rPr>
      <w:color w:val="0000FF"/>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hint="default" w:ascii="monospace" w:hAnsi="monospace" w:eastAsia="monospace" w:cs="monospace"/>
      <w:sz w:val="20"/>
    </w:rPr>
  </w:style>
  <w:style w:type="character" w:styleId="31">
    <w:name w:val="HTML Sample"/>
    <w:basedOn w:val="18"/>
    <w:qFormat/>
    <w:uiPriority w:val="0"/>
    <w:rPr>
      <w:rFonts w:ascii="monospace" w:hAnsi="monospace" w:eastAsia="monospace" w:cs="monospace"/>
    </w:rPr>
  </w:style>
  <w:style w:type="character" w:customStyle="1" w:styleId="32">
    <w:name w:val="font31"/>
    <w:basedOn w:val="18"/>
    <w:qFormat/>
    <w:uiPriority w:val="0"/>
    <w:rPr>
      <w:rFonts w:hint="eastAsia" w:ascii="宋体" w:hAnsi="宋体" w:eastAsia="宋体" w:cs="宋体"/>
      <w:color w:val="000000"/>
      <w:sz w:val="20"/>
      <w:szCs w:val="20"/>
      <w:u w:val="none"/>
    </w:rPr>
  </w:style>
  <w:style w:type="character" w:customStyle="1" w:styleId="33">
    <w:name w:val="font01"/>
    <w:basedOn w:val="18"/>
    <w:qFormat/>
    <w:uiPriority w:val="0"/>
    <w:rPr>
      <w:rFonts w:hint="eastAsia" w:ascii="宋体" w:hAnsi="宋体" w:eastAsia="宋体" w:cs="宋体"/>
      <w:color w:val="000000"/>
      <w:sz w:val="20"/>
      <w:szCs w:val="20"/>
      <w:u w:val="none"/>
      <w:vertAlign w:val="superscript"/>
    </w:rPr>
  </w:style>
  <w:style w:type="paragraph" w:customStyle="1" w:styleId="34">
    <w:name w:val="监标题3"/>
    <w:basedOn w:val="1"/>
    <w:qFormat/>
    <w:uiPriority w:val="0"/>
    <w:pPr>
      <w:spacing w:line="560" w:lineRule="exact"/>
      <w:jc w:val="center"/>
    </w:pPr>
    <w:rPr>
      <w:rFonts w:ascii="宋体" w:hAnsi="宋体"/>
      <w:b/>
      <w:color w:val="000000"/>
      <w:sz w:val="28"/>
      <w:szCs w:val="20"/>
    </w:rPr>
  </w:style>
  <w:style w:type="character" w:customStyle="1" w:styleId="35">
    <w:name w:val="font11"/>
    <w:basedOn w:val="18"/>
    <w:qFormat/>
    <w:uiPriority w:val="0"/>
    <w:rPr>
      <w:rFonts w:hint="eastAsia" w:ascii="宋体" w:hAnsi="宋体" w:eastAsia="宋体" w:cs="宋体"/>
      <w:color w:val="000000"/>
      <w:sz w:val="22"/>
      <w:szCs w:val="22"/>
      <w:u w:val="none"/>
    </w:rPr>
  </w:style>
  <w:style w:type="paragraph" w:customStyle="1" w:styleId="36">
    <w:name w:val="列出段落1"/>
    <w:basedOn w:val="1"/>
    <w:qFormat/>
    <w:uiPriority w:val="34"/>
    <w:pPr>
      <w:ind w:firstLine="420" w:firstLineChars="200"/>
    </w:pPr>
  </w:style>
  <w:style w:type="character" w:customStyle="1" w:styleId="37">
    <w:name w:val="font21"/>
    <w:basedOn w:val="18"/>
    <w:qFormat/>
    <w:uiPriority w:val="0"/>
    <w:rPr>
      <w:rFonts w:hint="eastAsia" w:ascii="宋体" w:hAnsi="宋体" w:eastAsia="宋体" w:cs="宋体"/>
      <w:color w:val="000000"/>
      <w:sz w:val="20"/>
      <w:szCs w:val="20"/>
      <w:u w:val="none"/>
      <w:vertAlign w:val="superscript"/>
    </w:rPr>
  </w:style>
  <w:style w:type="character" w:customStyle="1" w:styleId="38">
    <w:name w:val="font111"/>
    <w:basedOn w:val="18"/>
    <w:qFormat/>
    <w:uiPriority w:val="0"/>
    <w:rPr>
      <w:rFonts w:hint="eastAsia" w:ascii="宋体" w:hAnsi="宋体" w:eastAsia="宋体" w:cs="宋体"/>
      <w:color w:val="000000"/>
      <w:sz w:val="20"/>
      <w:szCs w:val="20"/>
      <w:u w:val="none"/>
      <w:vertAlign w:val="superscript"/>
    </w:rPr>
  </w:style>
  <w:style w:type="paragraph" w:styleId="39">
    <w:name w:val="List Paragraph"/>
    <w:basedOn w:val="1"/>
    <w:qFormat/>
    <w:uiPriority w:val="34"/>
    <w:pPr>
      <w:ind w:firstLine="420"/>
    </w:pPr>
  </w:style>
  <w:style w:type="character" w:customStyle="1" w:styleId="40">
    <w:name w:val="NormalCharacter"/>
    <w:qFormat/>
    <w:uiPriority w:val="0"/>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32</Pages>
  <Words>9329</Words>
  <Characters>9760</Characters>
  <Lines>111</Lines>
  <Paragraphs>31</Paragraphs>
  <TotalTime>14</TotalTime>
  <ScaleCrop>false</ScaleCrop>
  <LinksUpToDate>false</LinksUpToDate>
  <CharactersWithSpaces>10597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游龙跃</cp:lastModifiedBy>
  <cp:lastPrinted>2021-06-22T07:03:00Z</cp:lastPrinted>
  <dcterms:modified xsi:type="dcterms:W3CDTF">2022-08-04T02:29:27Z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9757BC6343A446379646FE5D8119DCC1</vt:lpwstr>
  </property>
</Properties>
</file>