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yellow"/>
          <w:lang w:val="en-US" w:eastAsia="zh-CN"/>
        </w:rPr>
        <w:t>医用铅服消毒柜</w:t>
      </w:r>
      <w:r>
        <w:rPr>
          <w:rFonts w:hint="eastAsia" w:ascii="仿宋" w:hAnsi="仿宋" w:eastAsia="仿宋" w:cs="仿宋"/>
          <w:b/>
          <w:bCs/>
          <w:color w:val="auto"/>
          <w:sz w:val="48"/>
          <w:szCs w:val="48"/>
          <w:highlight w:val="none"/>
          <w:lang w:eastAsia="zh-CN"/>
        </w:rPr>
        <w:t>项目</w:t>
      </w:r>
    </w:p>
    <w:p>
      <w:pPr>
        <w:pStyle w:val="9"/>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一</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九</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七日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9"/>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2"/>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2"/>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2"/>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15</w:t>
      </w:r>
    </w:p>
    <w:p>
      <w:pPr>
        <w:pStyle w:val="12"/>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21</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22</w:t>
      </w:r>
    </w:p>
    <w:p>
      <w:pPr>
        <w:pStyle w:val="13"/>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2"/>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3"/>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rPr>
        <w:sectPr>
          <w:headerReference r:id="rId3" w:type="default"/>
          <w:pgSz w:w="11906" w:h="16838"/>
          <w:pgMar w:top="1440" w:right="1797" w:bottom="1440" w:left="1797" w:header="851" w:footer="992" w:gutter="0"/>
          <w:pgNumType w:start="1"/>
          <w:cols w:space="720" w:num="1"/>
          <w:docGrid w:type="lines" w:linePitch="312" w:charSpace="0"/>
        </w:sectPr>
      </w:pPr>
    </w:p>
    <w:p>
      <w:pPr>
        <w:pStyle w:val="3"/>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4"/>
        <w:spacing w:line="240" w:lineRule="auto"/>
        <w:ind w:firstLine="2869" w:firstLineChars="893"/>
        <w:jc w:val="both"/>
        <w:rPr>
          <w:rFonts w:hint="eastAsia" w:ascii="仿宋" w:hAnsi="仿宋" w:eastAsia="仿宋" w:cs="仿宋"/>
          <w:color w:val="auto"/>
          <w:kern w:val="0"/>
          <w:sz w:val="28"/>
          <w:highlight w:val="none"/>
        </w:rPr>
      </w:pPr>
      <w:bookmarkStart w:id="1" w:name="_Hlt519045778"/>
      <w:bookmarkEnd w:id="1"/>
      <w:bookmarkStart w:id="2" w:name="_Hlt509650027"/>
      <w:bookmarkEnd w:id="2"/>
      <w:bookmarkStart w:id="3" w:name="_Toc15246"/>
      <w:r>
        <w:rPr>
          <w:rFonts w:hint="eastAsia" w:ascii="仿宋" w:hAnsi="仿宋" w:eastAsia="仿宋" w:cs="仿宋"/>
          <w:color w:val="auto"/>
          <w:kern w:val="0"/>
          <w:highlight w:val="none"/>
        </w:rPr>
        <w:t>一、</w:t>
      </w:r>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20" w:firstLineChars="400"/>
        <w:jc w:val="left"/>
        <w:rPr>
          <w:rFonts w:hint="eastAsia" w:ascii="仿宋" w:hAnsi="仿宋" w:eastAsia="仿宋" w:cs="仿宋"/>
          <w:b w:val="0"/>
          <w:bCs w:val="0"/>
          <w:i w:val="0"/>
          <w:iCs w:val="0"/>
          <w:caps w:val="0"/>
          <w:color w:val="555555"/>
          <w:spacing w:val="0"/>
          <w:sz w:val="28"/>
          <w:szCs w:val="28"/>
        </w:rPr>
      </w:pPr>
      <w:r>
        <w:rPr>
          <w:rFonts w:hint="eastAsia" w:ascii="仿宋" w:hAnsi="仿宋" w:eastAsia="仿宋" w:cs="仿宋"/>
          <w:b w:val="0"/>
          <w:bCs w:val="0"/>
          <w:i w:val="0"/>
          <w:iCs w:val="0"/>
          <w:caps w:val="0"/>
          <w:color w:val="555555"/>
          <w:spacing w:val="0"/>
          <w:kern w:val="0"/>
          <w:sz w:val="28"/>
          <w:szCs w:val="28"/>
          <w:lang w:val="en-US" w:eastAsia="zh-CN" w:bidi="ar"/>
        </w:rPr>
        <w:t>赣州市肿瘤医院就</w:t>
      </w:r>
      <w:r>
        <w:rPr>
          <w:rFonts w:hint="eastAsia" w:ascii="仿宋" w:hAnsi="仿宋" w:eastAsia="仿宋" w:cs="仿宋"/>
          <w:b w:val="0"/>
          <w:bCs w:val="0"/>
          <w:i w:val="0"/>
          <w:iCs w:val="0"/>
          <w:caps w:val="0"/>
          <w:color w:val="555555"/>
          <w:spacing w:val="0"/>
          <w:kern w:val="0"/>
          <w:sz w:val="28"/>
          <w:szCs w:val="28"/>
          <w:highlight w:val="yellow"/>
          <w:lang w:val="en-US" w:eastAsia="zh-CN" w:bidi="ar"/>
        </w:rPr>
        <w:t>医用铅服消毒柜</w:t>
      </w:r>
      <w:r>
        <w:rPr>
          <w:rFonts w:hint="eastAsia" w:ascii="仿宋" w:hAnsi="仿宋" w:eastAsia="仿宋" w:cs="仿宋"/>
          <w:b w:val="0"/>
          <w:bCs w:val="0"/>
          <w:i w:val="0"/>
          <w:iCs w:val="0"/>
          <w:caps w:val="0"/>
          <w:color w:val="555555"/>
          <w:spacing w:val="0"/>
          <w:kern w:val="0"/>
          <w:sz w:val="28"/>
          <w:szCs w:val="28"/>
          <w:lang w:val="en-US" w:eastAsia="zh-CN" w:bidi="ar"/>
        </w:rPr>
        <w:t>进行竞争性谈判，现欢迎国内符合资格条件的供应商前来参加。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sz w:val="28"/>
          <w:szCs w:val="28"/>
          <w:highlight w:val="yellow"/>
          <w:lang w:val="en-US" w:eastAsia="zh-CN"/>
        </w:rPr>
      </w:pPr>
      <w:r>
        <w:rPr>
          <w:rStyle w:val="18"/>
          <w:rFonts w:hint="eastAsia" w:ascii="仿宋" w:hAnsi="仿宋" w:eastAsia="仿宋" w:cs="仿宋"/>
          <w:b/>
          <w:bCs/>
          <w:i w:val="0"/>
          <w:iCs w:val="0"/>
          <w:caps w:val="0"/>
          <w:color w:val="555555"/>
          <w:spacing w:val="0"/>
          <w:sz w:val="28"/>
          <w:szCs w:val="28"/>
          <w:lang w:val="en-US" w:eastAsia="zh-CN"/>
        </w:rPr>
        <w:t>一、</w:t>
      </w:r>
      <w:r>
        <w:rPr>
          <w:rStyle w:val="18"/>
          <w:rFonts w:hint="eastAsia" w:ascii="仿宋" w:hAnsi="仿宋" w:eastAsia="仿宋" w:cs="仿宋"/>
          <w:b/>
          <w:bCs/>
          <w:i w:val="0"/>
          <w:iCs w:val="0"/>
          <w:caps w:val="0"/>
          <w:color w:val="555555"/>
          <w:spacing w:val="0"/>
          <w:sz w:val="28"/>
          <w:szCs w:val="28"/>
        </w:rPr>
        <w:t>项目编号：</w:t>
      </w:r>
      <w:r>
        <w:rPr>
          <w:rStyle w:val="18"/>
          <w:rFonts w:hint="eastAsia" w:ascii="仿宋" w:hAnsi="仿宋" w:eastAsia="仿宋" w:cs="仿宋"/>
          <w:b w:val="0"/>
          <w:bCs w:val="0"/>
          <w:i w:val="0"/>
          <w:iCs w:val="0"/>
          <w:caps w:val="0"/>
          <w:color w:val="555555"/>
          <w:spacing w:val="0"/>
          <w:sz w:val="28"/>
          <w:szCs w:val="28"/>
          <w:highlight w:val="yellow"/>
          <w:lang w:val="en-US" w:eastAsia="zh-CN"/>
        </w:rPr>
        <w:t>SB</w:t>
      </w:r>
      <w:r>
        <w:rPr>
          <w:rFonts w:hint="eastAsia" w:ascii="仿宋" w:hAnsi="仿宋" w:eastAsia="仿宋" w:cs="仿宋"/>
          <w:i w:val="0"/>
          <w:iCs w:val="0"/>
          <w:caps w:val="0"/>
          <w:color w:val="555555"/>
          <w:spacing w:val="0"/>
          <w:sz w:val="28"/>
          <w:szCs w:val="28"/>
          <w:highlight w:val="yellow"/>
          <w:lang w:val="en-US" w:eastAsia="zh-CN"/>
        </w:rPr>
        <w:t>2021-0804</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18"/>
          <w:rFonts w:hint="eastAsia" w:ascii="仿宋" w:hAnsi="仿宋" w:eastAsia="仿宋" w:cs="仿宋"/>
          <w:b/>
          <w:bCs/>
          <w:i w:val="0"/>
          <w:iCs w:val="0"/>
          <w:caps w:val="0"/>
          <w:color w:val="555555"/>
          <w:spacing w:val="0"/>
          <w:kern w:val="0"/>
          <w:sz w:val="28"/>
          <w:szCs w:val="28"/>
          <w:lang w:val="en-US" w:eastAsia="zh-CN" w:bidi="ar"/>
        </w:rPr>
      </w:pPr>
      <w:r>
        <w:rPr>
          <w:rStyle w:val="18"/>
          <w:rFonts w:hint="eastAsia" w:ascii="仿宋" w:hAnsi="仿宋" w:eastAsia="仿宋" w:cs="仿宋"/>
          <w:b/>
          <w:bCs/>
          <w:i w:val="0"/>
          <w:iCs w:val="0"/>
          <w:caps w:val="0"/>
          <w:color w:val="555555"/>
          <w:spacing w:val="0"/>
          <w:kern w:val="0"/>
          <w:sz w:val="28"/>
          <w:szCs w:val="28"/>
          <w:lang w:val="en-US" w:eastAsia="zh-CN" w:bidi="ar"/>
        </w:rPr>
        <w:t>采购方式：</w:t>
      </w:r>
      <w:r>
        <w:rPr>
          <w:rFonts w:hint="eastAsia" w:ascii="仿宋" w:hAnsi="仿宋" w:eastAsia="仿宋" w:cs="仿宋"/>
          <w:i w:val="0"/>
          <w:iCs w:val="0"/>
          <w:caps w:val="0"/>
          <w:color w:val="555555"/>
          <w:spacing w:val="0"/>
          <w:kern w:val="0"/>
          <w:sz w:val="28"/>
          <w:szCs w:val="28"/>
          <w:lang w:val="en-US" w:eastAsia="zh-CN" w:bidi="ar"/>
        </w:rPr>
        <w:t>竞争性谈判</w:t>
      </w:r>
      <w:r>
        <w:rPr>
          <w:rFonts w:hint="eastAsia" w:ascii="仿宋" w:hAnsi="仿宋" w:eastAsia="仿宋" w:cs="仿宋"/>
          <w:i w:val="0"/>
          <w:iCs w:val="0"/>
          <w:caps w:val="0"/>
          <w:color w:val="555555"/>
          <w:spacing w:val="0"/>
          <w:kern w:val="0"/>
          <w:sz w:val="28"/>
          <w:szCs w:val="28"/>
          <w:lang w:val="en-US" w:eastAsia="zh-CN" w:bidi="ar"/>
        </w:rPr>
        <w:br w:type="textWrapping"/>
      </w:r>
      <w:r>
        <w:rPr>
          <w:rStyle w:val="18"/>
          <w:rFonts w:hint="eastAsia" w:ascii="仿宋" w:hAnsi="仿宋" w:eastAsia="仿宋" w:cs="仿宋"/>
          <w:b/>
          <w:bCs/>
          <w:i w:val="0"/>
          <w:iCs w:val="0"/>
          <w:caps w:val="0"/>
          <w:color w:val="555555"/>
          <w:spacing w:val="0"/>
          <w:kern w:val="0"/>
          <w:sz w:val="28"/>
          <w:szCs w:val="28"/>
          <w:lang w:val="en-US" w:eastAsia="zh-CN" w:bidi="ar"/>
        </w:rPr>
        <w:t>三、采购内容：</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2200"/>
        <w:gridCol w:w="950"/>
        <w:gridCol w:w="1088"/>
        <w:gridCol w:w="1362"/>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序号</w:t>
            </w:r>
          </w:p>
        </w:tc>
        <w:tc>
          <w:tcPr>
            <w:tcW w:w="2200"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项目名称</w:t>
            </w:r>
          </w:p>
        </w:tc>
        <w:tc>
          <w:tcPr>
            <w:tcW w:w="950"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数量</w:t>
            </w:r>
          </w:p>
        </w:tc>
        <w:tc>
          <w:tcPr>
            <w:tcW w:w="1088"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单位</w:t>
            </w:r>
          </w:p>
        </w:tc>
        <w:tc>
          <w:tcPr>
            <w:tcW w:w="1362"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预算金额（元）</w:t>
            </w:r>
          </w:p>
        </w:tc>
        <w:tc>
          <w:tcPr>
            <w:tcW w:w="2025"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主要技术参数及要求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w:t>
            </w:r>
          </w:p>
        </w:tc>
        <w:tc>
          <w:tcPr>
            <w:tcW w:w="2200"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b w:val="0"/>
                <w:bCs w:val="0"/>
                <w:i w:val="0"/>
                <w:iCs w:val="0"/>
                <w:caps w:val="0"/>
                <w:color w:val="555555"/>
                <w:spacing w:val="0"/>
                <w:kern w:val="0"/>
                <w:sz w:val="28"/>
                <w:szCs w:val="28"/>
                <w:highlight w:val="yellow"/>
                <w:lang w:val="en-US" w:eastAsia="zh-CN" w:bidi="ar"/>
              </w:rPr>
              <w:t>医用铅服消毒柜</w:t>
            </w:r>
          </w:p>
        </w:tc>
        <w:tc>
          <w:tcPr>
            <w:tcW w:w="950"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1</w:t>
            </w:r>
          </w:p>
        </w:tc>
        <w:tc>
          <w:tcPr>
            <w:tcW w:w="1088"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个</w:t>
            </w:r>
          </w:p>
        </w:tc>
        <w:tc>
          <w:tcPr>
            <w:tcW w:w="1362"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highlight w:val="yellow"/>
                <w:vertAlign w:val="baseline"/>
                <w:lang w:val="en-US" w:eastAsia="zh-CN" w:bidi="ar"/>
              </w:rPr>
              <w:t>96500</w:t>
            </w:r>
          </w:p>
        </w:tc>
        <w:tc>
          <w:tcPr>
            <w:tcW w:w="2025" w:type="dxa"/>
            <w:noWrap w:val="0"/>
            <w:vAlign w:val="top"/>
          </w:tcPr>
          <w:p>
            <w:pPr>
              <w:keepNext w:val="0"/>
              <w:keepLines w:val="0"/>
              <w:widowControl/>
              <w:numPr>
                <w:ilvl w:val="0"/>
                <w:numId w:val="0"/>
              </w:numPr>
              <w:suppressLineNumbers w:val="0"/>
              <w:spacing w:before="0" w:beforeAutospacing="0" w:after="0" w:afterAutospacing="0"/>
              <w:ind w:right="0" w:rightChars="0"/>
              <w:jc w:val="center"/>
              <w:rPr>
                <w:rFonts w:hint="eastAsia" w:ascii="仿宋" w:hAnsi="仿宋" w:eastAsia="仿宋" w:cs="仿宋"/>
                <w:i w:val="0"/>
                <w:iCs w:val="0"/>
                <w:caps w:val="0"/>
                <w:color w:val="555555"/>
                <w:spacing w:val="0"/>
                <w:kern w:val="0"/>
                <w:sz w:val="28"/>
                <w:szCs w:val="28"/>
                <w:vertAlign w:val="baseline"/>
                <w:lang w:val="en-US" w:eastAsia="zh-CN" w:bidi="ar"/>
              </w:rPr>
            </w:pPr>
            <w:r>
              <w:rPr>
                <w:rFonts w:hint="eastAsia" w:ascii="仿宋" w:hAnsi="仿宋" w:eastAsia="仿宋" w:cs="仿宋"/>
                <w:i w:val="0"/>
                <w:iCs w:val="0"/>
                <w:caps w:val="0"/>
                <w:color w:val="555555"/>
                <w:spacing w:val="0"/>
                <w:kern w:val="0"/>
                <w:sz w:val="28"/>
                <w:szCs w:val="28"/>
                <w:vertAlign w:val="baseline"/>
                <w:lang w:val="en-US" w:eastAsia="zh-CN" w:bidi="ar"/>
              </w:rPr>
              <w:t>详见采购需求</w:t>
            </w:r>
          </w:p>
        </w:tc>
      </w:tr>
    </w:tbl>
    <w:p>
      <w:pPr>
        <w:numPr>
          <w:ilvl w:val="0"/>
          <w:numId w:val="0"/>
        </w:numPr>
        <w:ind w:leftChars="0"/>
        <w:rPr>
          <w:rStyle w:val="18"/>
          <w:rFonts w:hint="eastAsia" w:ascii="仿宋" w:hAnsi="仿宋" w:eastAsia="仿宋" w:cs="仿宋"/>
          <w:b/>
          <w:bCs/>
          <w:i w:val="0"/>
          <w:iCs w:val="0"/>
          <w:caps w:val="0"/>
          <w:color w:val="555555"/>
          <w:spacing w:val="0"/>
          <w:kern w:val="0"/>
          <w:sz w:val="28"/>
          <w:szCs w:val="28"/>
          <w:lang w:val="en-US" w:eastAsia="zh-CN" w:bidi="ar"/>
        </w:rPr>
      </w:pPr>
      <w:r>
        <w:rPr>
          <w:rStyle w:val="18"/>
          <w:rFonts w:hint="eastAsia" w:ascii="仿宋" w:hAnsi="仿宋" w:eastAsia="仿宋" w:cs="仿宋"/>
          <w:b/>
          <w:bCs/>
          <w:i w:val="0"/>
          <w:iCs w:val="0"/>
          <w:caps w:val="0"/>
          <w:color w:val="555555"/>
          <w:spacing w:val="0"/>
          <w:kern w:val="0"/>
          <w:sz w:val="28"/>
          <w:szCs w:val="28"/>
          <w:lang w:val="en-US" w:eastAsia="zh-CN" w:bidi="ar"/>
        </w:rPr>
        <w:t>四、谈判方式：</w:t>
      </w:r>
      <w:r>
        <w:rPr>
          <w:rFonts w:hint="eastAsia" w:ascii="仿宋" w:hAnsi="仿宋" w:eastAsia="仿宋" w:cs="仿宋"/>
          <w:i w:val="0"/>
          <w:iCs w:val="0"/>
          <w:caps w:val="0"/>
          <w:color w:val="555555"/>
          <w:spacing w:val="0"/>
          <w:kern w:val="0"/>
          <w:sz w:val="28"/>
          <w:szCs w:val="28"/>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r>
        <w:rPr>
          <w:rFonts w:hint="eastAsia" w:ascii="仿宋" w:hAnsi="仿宋" w:eastAsia="仿宋" w:cs="仿宋"/>
          <w:i w:val="0"/>
          <w:iCs w:val="0"/>
          <w:caps w:val="0"/>
          <w:color w:val="555555"/>
          <w:spacing w:val="0"/>
          <w:kern w:val="0"/>
          <w:sz w:val="28"/>
          <w:szCs w:val="28"/>
          <w:lang w:val="en-US" w:eastAsia="zh-CN" w:bidi="ar"/>
        </w:rPr>
        <w:br w:type="textWrapping"/>
      </w:r>
      <w:r>
        <w:rPr>
          <w:rStyle w:val="18"/>
          <w:rFonts w:hint="eastAsia" w:ascii="仿宋" w:hAnsi="仿宋" w:eastAsia="仿宋" w:cs="仿宋"/>
          <w:b/>
          <w:bCs/>
          <w:i w:val="0"/>
          <w:iCs w:val="0"/>
          <w:caps w:val="0"/>
          <w:color w:val="555555"/>
          <w:spacing w:val="0"/>
          <w:kern w:val="0"/>
          <w:sz w:val="28"/>
          <w:szCs w:val="28"/>
          <w:lang w:val="en-US" w:eastAsia="zh-CN" w:bidi="ar"/>
        </w:rPr>
        <w:t>五、响应供应商的资格要求：</w:t>
      </w:r>
    </w:p>
    <w:p>
      <w:pPr>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1、具有独立承担民事责任能力的法人或其他组织；</w:t>
      </w:r>
    </w:p>
    <w:p>
      <w:pPr>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2、具有良好的商业信誉和健全的财务会计制度；</w:t>
      </w:r>
    </w:p>
    <w:p>
      <w:pPr>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3、具有履行合同所必需的设备和专业技术能力；</w:t>
      </w:r>
    </w:p>
    <w:p>
      <w:pPr>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4、有依法缴纳税收和社会保障资金的良好记录；</w:t>
      </w:r>
    </w:p>
    <w:p>
      <w:pPr>
        <w:spacing w:line="560" w:lineRule="exact"/>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5、参加政府采购活动前三年内，在经营活动中没有重大违法记录；</w:t>
      </w:r>
    </w:p>
    <w:p>
      <w:pPr>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其他资格条件：</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.1所投一、二、三类医疗器械产品用于临床的：二、三类医疗器械产品的须具有医疗器械注册证及登记表（新证不需登记表），一类医疗器械产品的须具有产品备案登记凭证；</w:t>
      </w:r>
    </w:p>
    <w:p>
      <w:pPr>
        <w:ind w:left="318" w:leftChars="86" w:hanging="137" w:hangingChars="4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.2所投在中华人民共和国境内生产的一、二、三类医疗器械产品用于临床的：二、三类医疗器械产品须具有医疗器械生产许可证,一类医疗器械产品的须具有医疗器械生产备案凭证；</w:t>
      </w:r>
    </w:p>
    <w:p>
      <w:pPr>
        <w:ind w:left="318" w:leftChars="86" w:hanging="137" w:hangingChars="4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Style w:val="18"/>
          <w:rFonts w:hint="eastAsia" w:ascii="仿宋" w:hAnsi="仿宋" w:eastAsia="仿宋" w:cs="仿宋"/>
          <w:b w:val="0"/>
          <w:bCs w:val="0"/>
          <w:i w:val="0"/>
          <w:iCs w:val="0"/>
          <w:caps w:val="0"/>
          <w:color w:val="555555"/>
          <w:spacing w:val="0"/>
          <w:kern w:val="0"/>
          <w:sz w:val="28"/>
          <w:szCs w:val="28"/>
          <w:lang w:val="en-US" w:eastAsia="zh-CN" w:bidi="ar"/>
        </w:rPr>
      </w:pPr>
      <w:r>
        <w:rPr>
          <w:rStyle w:val="18"/>
          <w:rFonts w:hint="eastAsia" w:ascii="仿宋" w:hAnsi="仿宋" w:eastAsia="仿宋" w:cs="仿宋"/>
          <w:b/>
          <w:bCs/>
          <w:i w:val="0"/>
          <w:iCs w:val="0"/>
          <w:caps w:val="0"/>
          <w:color w:val="555555"/>
          <w:spacing w:val="0"/>
          <w:kern w:val="0"/>
          <w:sz w:val="28"/>
          <w:szCs w:val="28"/>
          <w:lang w:val="en-US" w:eastAsia="zh-CN" w:bidi="ar"/>
        </w:rPr>
        <w:t>六、报名时间、报名方式：</w:t>
      </w:r>
      <w:r>
        <w:rPr>
          <w:rFonts w:hint="eastAsia" w:ascii="仿宋" w:hAnsi="仿宋" w:eastAsia="仿宋" w:cs="仿宋"/>
          <w:i w:val="0"/>
          <w:iCs w:val="0"/>
          <w:caps w:val="0"/>
          <w:color w:val="555555"/>
          <w:spacing w:val="0"/>
          <w:kern w:val="0"/>
          <w:sz w:val="28"/>
          <w:szCs w:val="28"/>
          <w:lang w:val="en-US" w:eastAsia="zh-CN" w:bidi="ar"/>
        </w:rPr>
        <w:br w:type="textWrapping"/>
      </w:r>
      <w:r>
        <w:rPr>
          <w:rStyle w:val="18"/>
          <w:rFonts w:hint="eastAsia" w:ascii="仿宋" w:hAnsi="仿宋" w:eastAsia="仿宋" w:cs="仿宋"/>
          <w:b w:val="0"/>
          <w:bCs w:val="0"/>
          <w:i w:val="0"/>
          <w:iCs w:val="0"/>
          <w:caps w:val="0"/>
          <w:color w:val="555555"/>
          <w:spacing w:val="0"/>
          <w:kern w:val="0"/>
          <w:sz w:val="28"/>
          <w:szCs w:val="28"/>
          <w:lang w:val="en-US" w:eastAsia="zh-CN" w:bidi="ar"/>
        </w:rPr>
        <w:t>本次竞争性谈判活动采用邮箱报名，不需要到现场报名，供应商须将报名表、资质证明文件扫描件于</w:t>
      </w:r>
      <w:r>
        <w:rPr>
          <w:rStyle w:val="18"/>
          <w:rFonts w:hint="eastAsia" w:ascii="仿宋" w:hAnsi="仿宋" w:eastAsia="仿宋" w:cs="仿宋"/>
          <w:b w:val="0"/>
          <w:bCs w:val="0"/>
          <w:i w:val="0"/>
          <w:iCs w:val="0"/>
          <w:caps w:val="0"/>
          <w:color w:val="555555"/>
          <w:spacing w:val="0"/>
          <w:kern w:val="0"/>
          <w:sz w:val="28"/>
          <w:szCs w:val="28"/>
          <w:highlight w:val="yellow"/>
          <w:lang w:val="en-US" w:eastAsia="zh-CN" w:bidi="ar"/>
        </w:rPr>
        <w:t>2021年9月9日</w:t>
      </w:r>
      <w:r>
        <w:rPr>
          <w:rStyle w:val="18"/>
          <w:rFonts w:hint="eastAsia" w:ascii="仿宋" w:hAnsi="仿宋" w:eastAsia="仿宋" w:cs="仿宋"/>
          <w:b w:val="0"/>
          <w:bCs w:val="0"/>
          <w:i w:val="0"/>
          <w:iCs w:val="0"/>
          <w:caps w:val="0"/>
          <w:color w:val="555555"/>
          <w:spacing w:val="0"/>
          <w:kern w:val="0"/>
          <w:sz w:val="28"/>
          <w:szCs w:val="28"/>
          <w:lang w:val="en-US" w:eastAsia="zh-CN" w:bidi="ar"/>
        </w:rPr>
        <w:t>下午17:00之前发送到电子邮箱gzszlyycgb@126.com。如有疑问，请拨打电话</w:t>
      </w:r>
      <w:r>
        <w:rPr>
          <w:rFonts w:hint="eastAsia" w:ascii="仿宋" w:hAnsi="仿宋" w:eastAsia="仿宋" w:cs="仿宋"/>
          <w:b w:val="0"/>
          <w:bCs w:val="0"/>
          <w:i w:val="0"/>
          <w:iCs w:val="0"/>
          <w:caps w:val="0"/>
          <w:color w:val="555555"/>
          <w:spacing w:val="0"/>
          <w:kern w:val="0"/>
          <w:sz w:val="28"/>
          <w:szCs w:val="28"/>
          <w:lang w:val="en-US" w:eastAsia="zh-CN" w:bidi="ar"/>
        </w:rPr>
        <w:t>8105097游先生</w:t>
      </w:r>
      <w:r>
        <w:rPr>
          <w:rStyle w:val="18"/>
          <w:rFonts w:hint="eastAsia" w:ascii="仿宋" w:hAnsi="仿宋" w:eastAsia="仿宋" w:cs="仿宋"/>
          <w:b w:val="0"/>
          <w:bCs w:val="0"/>
          <w:i w:val="0"/>
          <w:iCs w:val="0"/>
          <w:caps w:val="0"/>
          <w:color w:val="555555"/>
          <w:spacing w:val="0"/>
          <w:kern w:val="0"/>
          <w:sz w:val="28"/>
          <w:szCs w:val="28"/>
          <w:lang w:val="en-US" w:eastAsia="zh-CN" w:bidi="ar"/>
        </w:rPr>
        <w:t>。</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Style w:val="18"/>
          <w:rFonts w:hint="eastAsia" w:ascii="仿宋" w:hAnsi="仿宋" w:eastAsia="仿宋" w:cs="仿宋"/>
          <w:b/>
          <w:bCs/>
          <w:i w:val="0"/>
          <w:iCs w:val="0"/>
          <w:caps w:val="0"/>
          <w:color w:val="555555"/>
          <w:spacing w:val="0"/>
          <w:kern w:val="0"/>
          <w:sz w:val="28"/>
          <w:szCs w:val="28"/>
          <w:lang w:val="en-US" w:eastAsia="zh-CN" w:bidi="ar"/>
        </w:rPr>
        <w:t>七、响应截止时间和谈判时间：</w:t>
      </w:r>
      <w:r>
        <w:rPr>
          <w:rFonts w:hint="eastAsia" w:ascii="仿宋" w:hAnsi="仿宋" w:eastAsia="仿宋" w:cs="仿宋"/>
          <w:i w:val="0"/>
          <w:iCs w:val="0"/>
          <w:caps w:val="0"/>
          <w:color w:val="555555"/>
          <w:spacing w:val="0"/>
          <w:kern w:val="0"/>
          <w:sz w:val="28"/>
          <w:szCs w:val="28"/>
          <w:lang w:val="en-US" w:eastAsia="zh-CN" w:bidi="ar"/>
        </w:rPr>
        <w:br w:type="textWrapping"/>
      </w:r>
      <w:r>
        <w:rPr>
          <w:rStyle w:val="18"/>
          <w:rFonts w:hint="eastAsia" w:ascii="仿宋" w:hAnsi="仿宋" w:eastAsia="仿宋" w:cs="仿宋"/>
          <w:b w:val="0"/>
          <w:bCs w:val="0"/>
          <w:i w:val="0"/>
          <w:iCs w:val="0"/>
          <w:caps w:val="0"/>
          <w:color w:val="555555"/>
          <w:spacing w:val="0"/>
          <w:kern w:val="0"/>
          <w:sz w:val="28"/>
          <w:szCs w:val="28"/>
          <w:lang w:val="en-US" w:eastAsia="zh-CN" w:bidi="ar"/>
        </w:rPr>
        <w:t>现场响应截止时间：</w:t>
      </w:r>
      <w:r>
        <w:rPr>
          <w:rStyle w:val="18"/>
          <w:rFonts w:hint="eastAsia" w:ascii="仿宋" w:hAnsi="仿宋" w:eastAsia="仿宋" w:cs="仿宋"/>
          <w:b w:val="0"/>
          <w:bCs w:val="0"/>
          <w:i w:val="0"/>
          <w:iCs w:val="0"/>
          <w:caps w:val="0"/>
          <w:color w:val="555555"/>
          <w:spacing w:val="0"/>
          <w:kern w:val="0"/>
          <w:sz w:val="28"/>
          <w:szCs w:val="28"/>
          <w:highlight w:val="yellow"/>
          <w:lang w:val="en-US" w:eastAsia="zh-CN" w:bidi="ar"/>
        </w:rPr>
        <w:t>2021年9月10日（星期五）上午9：00。</w:t>
      </w:r>
      <w:r>
        <w:rPr>
          <w:rFonts w:hint="eastAsia" w:ascii="仿宋" w:hAnsi="仿宋" w:eastAsia="仿宋" w:cs="仿宋"/>
          <w:b w:val="0"/>
          <w:bCs w:val="0"/>
          <w:i w:val="0"/>
          <w:iCs w:val="0"/>
          <w:caps w:val="0"/>
          <w:color w:val="555555"/>
          <w:spacing w:val="0"/>
          <w:kern w:val="0"/>
          <w:sz w:val="28"/>
          <w:szCs w:val="28"/>
          <w:highlight w:val="yellow"/>
          <w:lang w:val="en-US" w:eastAsia="zh-CN" w:bidi="ar"/>
        </w:rPr>
        <w:br w:type="textWrapping"/>
      </w:r>
      <w:r>
        <w:rPr>
          <w:rStyle w:val="18"/>
          <w:rFonts w:hint="eastAsia" w:ascii="仿宋" w:hAnsi="仿宋" w:eastAsia="仿宋" w:cs="仿宋"/>
          <w:b w:val="0"/>
          <w:bCs w:val="0"/>
          <w:i w:val="0"/>
          <w:iCs w:val="0"/>
          <w:caps w:val="0"/>
          <w:color w:val="555555"/>
          <w:spacing w:val="0"/>
          <w:kern w:val="0"/>
          <w:sz w:val="28"/>
          <w:szCs w:val="28"/>
          <w:lang w:val="en-US" w:eastAsia="zh-CN" w:bidi="ar"/>
        </w:rPr>
        <w:t>现场谈判地点：</w:t>
      </w:r>
      <w:r>
        <w:rPr>
          <w:rStyle w:val="18"/>
          <w:rFonts w:hint="eastAsia" w:ascii="仿宋" w:hAnsi="仿宋" w:eastAsia="仿宋" w:cs="仿宋"/>
          <w:b w:val="0"/>
          <w:bCs w:val="0"/>
          <w:i w:val="0"/>
          <w:iCs w:val="0"/>
          <w:caps w:val="0"/>
          <w:color w:val="555555"/>
          <w:spacing w:val="0"/>
          <w:kern w:val="0"/>
          <w:sz w:val="28"/>
          <w:szCs w:val="28"/>
          <w:highlight w:val="yellow"/>
          <w:lang w:val="en-US" w:eastAsia="zh-CN" w:bidi="ar"/>
        </w:rPr>
        <w:t>赣州市肿瘤医院门诊楼四楼401会议室。</w:t>
      </w:r>
      <w:r>
        <w:rPr>
          <w:rFonts w:hint="eastAsia" w:ascii="仿宋" w:hAnsi="仿宋" w:eastAsia="仿宋" w:cs="仿宋"/>
          <w:b w:val="0"/>
          <w:bCs w:val="0"/>
          <w:i w:val="0"/>
          <w:iCs w:val="0"/>
          <w:caps w:val="0"/>
          <w:color w:val="555555"/>
          <w:spacing w:val="0"/>
          <w:kern w:val="0"/>
          <w:sz w:val="28"/>
          <w:szCs w:val="28"/>
          <w:highlight w:val="yellow"/>
          <w:lang w:val="en-US" w:eastAsia="zh-CN" w:bidi="ar"/>
        </w:rPr>
        <w:br w:type="textWrapping"/>
      </w:r>
      <w:r>
        <w:rPr>
          <w:rStyle w:val="18"/>
          <w:rFonts w:hint="eastAsia" w:ascii="仿宋" w:hAnsi="仿宋" w:eastAsia="仿宋" w:cs="仿宋"/>
          <w:b w:val="0"/>
          <w:bCs w:val="0"/>
          <w:i w:val="0"/>
          <w:iCs w:val="0"/>
          <w:caps w:val="0"/>
          <w:color w:val="555555"/>
          <w:spacing w:val="0"/>
          <w:kern w:val="0"/>
          <w:sz w:val="28"/>
          <w:szCs w:val="28"/>
          <w:lang w:val="en-US" w:eastAsia="zh-CN" w:bidi="ar"/>
        </w:rPr>
        <w:t>谈判文件一式三份（一正两副），资料按响应文件要求顺序胶装成册。逾期或不符合规定的竞谈响应文件恕不接受。签到时应主动出示身份证明原件。（温馨提示：疫情期间，请各响应供应商提前按政府疫情防控相关要求做好准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b/>
          <w:bCs/>
          <w:i w:val="0"/>
          <w:iCs w:val="0"/>
          <w:caps w:val="0"/>
          <w:color w:val="555555"/>
          <w:spacing w:val="0"/>
          <w:kern w:val="0"/>
          <w:sz w:val="28"/>
          <w:szCs w:val="28"/>
          <w:lang w:val="en-US" w:eastAsia="zh-CN" w:bidi="ar"/>
        </w:rPr>
      </w:pPr>
      <w:r>
        <w:rPr>
          <w:rFonts w:hint="eastAsia" w:ascii="仿宋" w:hAnsi="仿宋" w:eastAsia="仿宋" w:cs="仿宋"/>
          <w:b/>
          <w:bCs/>
          <w:i w:val="0"/>
          <w:iCs w:val="0"/>
          <w:caps w:val="0"/>
          <w:color w:val="555555"/>
          <w:spacing w:val="0"/>
          <w:kern w:val="0"/>
          <w:sz w:val="28"/>
          <w:szCs w:val="28"/>
          <w:lang w:val="en-US" w:eastAsia="zh-CN" w:bidi="ar"/>
        </w:rPr>
        <w:t>八、付款方式：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color w:val="000000"/>
          <w:sz w:val="28"/>
          <w:szCs w:val="28"/>
          <w:highlight w:val="yellow"/>
          <w:lang w:val="en-US" w:eastAsia="zh-CN"/>
        </w:rPr>
      </w:pPr>
      <w:r>
        <w:rPr>
          <w:rFonts w:hint="eastAsia" w:ascii="仿宋" w:hAnsi="仿宋" w:eastAsia="仿宋" w:cs="仿宋"/>
          <w:color w:val="000000"/>
          <w:sz w:val="28"/>
          <w:szCs w:val="28"/>
          <w:highlight w:val="yellow"/>
        </w:rPr>
        <w:t>合同签订、货物送达、安装调试、培训完成且验收合格后</w:t>
      </w:r>
      <w:r>
        <w:rPr>
          <w:rFonts w:hint="eastAsia" w:ascii="仿宋" w:hAnsi="仿宋" w:eastAsia="仿宋" w:cs="仿宋"/>
          <w:color w:val="000000"/>
          <w:sz w:val="28"/>
          <w:szCs w:val="28"/>
          <w:highlight w:val="yellow"/>
          <w:lang w:val="en-US" w:eastAsia="zh-CN"/>
        </w:rPr>
        <w:t>付合同款的85%，12个月后付合同款的15%。</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Fonts w:hint="eastAsia" w:ascii="仿宋" w:hAnsi="仿宋" w:eastAsia="仿宋" w:cs="仿宋"/>
          <w:i w:val="0"/>
          <w:iCs w:val="0"/>
          <w:caps w:val="0"/>
          <w:color w:val="555555"/>
          <w:spacing w:val="0"/>
          <w:sz w:val="28"/>
          <w:szCs w:val="28"/>
        </w:rPr>
      </w:pPr>
      <w:r>
        <w:rPr>
          <w:rFonts w:hint="eastAsia" w:ascii="仿宋" w:hAnsi="仿宋" w:eastAsia="仿宋" w:cs="仿宋"/>
          <w:b/>
          <w:bCs/>
          <w:i w:val="0"/>
          <w:iCs w:val="0"/>
          <w:caps w:val="0"/>
          <w:color w:val="555555"/>
          <w:spacing w:val="0"/>
          <w:kern w:val="0"/>
          <w:sz w:val="28"/>
          <w:szCs w:val="28"/>
          <w:lang w:val="en-US" w:eastAsia="zh-CN" w:bidi="ar"/>
        </w:rPr>
        <w:t>九</w:t>
      </w:r>
      <w:r>
        <w:rPr>
          <w:rStyle w:val="18"/>
          <w:rFonts w:hint="eastAsia" w:ascii="仿宋" w:hAnsi="仿宋" w:eastAsia="仿宋" w:cs="仿宋"/>
          <w:b/>
          <w:bCs/>
          <w:i w:val="0"/>
          <w:iCs w:val="0"/>
          <w:caps w:val="0"/>
          <w:color w:val="555555"/>
          <w:spacing w:val="0"/>
          <w:kern w:val="0"/>
          <w:sz w:val="28"/>
          <w:szCs w:val="28"/>
          <w:lang w:val="en-US" w:eastAsia="zh-CN" w:bidi="ar"/>
        </w:rPr>
        <w:t>、联系方法：</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采购人：赣州市肿瘤医院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地址：赣州市水东镇花园前19号</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电话：8105097</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联系人：游先生</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网址：http://www.gzzlyy.com/</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附件1：赣州肿瘤医院咨询采购报名表</w:t>
      </w:r>
    </w:p>
    <w:tbl>
      <w:tblPr>
        <w:tblStyle w:val="15"/>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"http://www.gzzlyy.com/uploads/soft/210705/1-210F5114455.doc"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2" name="矩形 2"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t="1" alt="IMG_256" style="height:24pt;width:24pt;" o:button="t" filled="f" stroked="f" coordsize="21600,21600" o:gfxdata="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acm+DRAAAAAwEAAA8AAAAAAAAAAQAgAAAAIgAAAGRycy9kb3ducmV2LnhtbFBLAQIUABQAAAAI&#10;AIdO4kB8DBWbuwEAAHEDAAAOAAAAAAAAAAEAIAAAACABAABkcnMvZTJvRG9jLnhtbFBLBQYAAAAA&#10;BgAGAFkBAABNBQ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仿宋"/>
          <w:i w:val="0"/>
          <w:iCs w:val="0"/>
          <w:caps w:val="0"/>
          <w:color w:val="555555"/>
          <w:spacing w:val="0"/>
          <w:kern w:val="0"/>
          <w:sz w:val="28"/>
          <w:szCs w:val="28"/>
          <w:lang w:val="en-US" w:eastAsia="zh-CN" w:bidi="ar"/>
        </w:rPr>
        <w:t>附件2：赣州市肿瘤医院咨询采购文件</w:t>
      </w:r>
    </w:p>
    <w:tbl>
      <w:tblPr>
        <w:tblStyle w:val="15"/>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"http://www.gzzlyy.com/uploads/soft/210705/1-210F5114549.docx"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3" name="矩形 3"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t="1" alt="IMG_257" style="height:24pt;width:24pt;" o:button="t" filled="f" stroked="f" coordsize="21600,21600" o:gfxdata="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2nJvg0QAAAAMBAAAPAAAAAAAAAAEAIAAAACIAAABkcnMvZG93bnJldi54bWxQSwECFAAUAAAA&#10;CACHTuJAC5k8uLwBAABxAwAADgAAAAAAAAABACAAAAAgAQAAZHJzL2Uyb0RvYy54bWxQSwUGAAAA&#10;AAYABgBZAQAATgU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                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w:t>
      </w:r>
      <w:r>
        <w:rPr>
          <w:rFonts w:hint="eastAsia" w:ascii="仿宋" w:hAnsi="仿宋" w:eastAsia="仿宋" w:cs="仿宋"/>
          <w:i w:val="0"/>
          <w:iCs w:val="0"/>
          <w:caps w:val="0"/>
          <w:color w:val="555555"/>
          <w:spacing w:val="0"/>
          <w:kern w:val="0"/>
          <w:sz w:val="28"/>
          <w:szCs w:val="28"/>
          <w:highlight w:val="yellow"/>
          <w:lang w:val="en-US" w:eastAsia="zh-CN" w:bidi="ar"/>
        </w:rPr>
        <w:t>2021年9月7日</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.2投标人在规定的时间内未对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文件要求澄清或提出疑问的，</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bookmarkStart w:id="4"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4"/>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4"/>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5" w:name="_Toc16582"/>
      <w:bookmarkStart w:id="6"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5"/>
      <w:bookmarkEnd w:id="6"/>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保证金</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.1投标人有下列情形之一的，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保证金不予退还：</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中标人在公示期内无正当理由放弃中标的；</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中标后</w:t>
      </w:r>
      <w:r>
        <w:rPr>
          <w:rFonts w:hint="eastAsia" w:ascii="仿宋" w:hAnsi="仿宋" w:eastAsia="仿宋" w:cs="仿宋"/>
          <w:color w:val="auto"/>
          <w:sz w:val="27"/>
          <w:szCs w:val="27"/>
          <w:highlight w:val="none"/>
          <w:lang w:eastAsia="zh-CN"/>
        </w:rPr>
        <w:t>未在规定期限内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签订合同的；</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中标人提供虚假材料；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其他被认定不予退还情形的。</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4"/>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7" w:name="_Toc20158"/>
      <w:bookmarkStart w:id="8"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7"/>
      <w:bookmarkEnd w:id="8"/>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color w:val="auto"/>
          <w:sz w:val="27"/>
          <w:szCs w:val="27"/>
          <w:highlight w:val="none"/>
          <w:lang w:val="en-US" w:eastAsia="zh-CN"/>
        </w:rPr>
        <w:t>8</w:t>
      </w:r>
      <w:bookmarkStart w:id="9" w:name="_Toc519068570"/>
      <w:bookmarkEnd w:id="9"/>
      <w:r>
        <w:rPr>
          <w:rFonts w:hint="eastAsia" w:ascii="仿宋" w:hAnsi="仿宋" w:eastAsia="仿宋" w:cs="仿宋"/>
          <w:b/>
          <w:color w:val="auto"/>
          <w:sz w:val="27"/>
          <w:szCs w:val="27"/>
          <w:highlight w:val="none"/>
          <w:lang w:val="en-US" w:eastAsia="zh-CN"/>
        </w:rPr>
        <w:t>.</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8</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8</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8</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10.</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US" w:eastAsia="zh-CN"/>
        </w:rPr>
        <w:t>0</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US" w:eastAsia="zh-CN"/>
        </w:rPr>
        <w:t>0</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US" w:eastAsia="zh-CN"/>
        </w:rPr>
        <w:t>0</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3"/>
        <w:spacing w:before="240" w:after="240"/>
        <w:jc w:val="center"/>
        <w:rPr>
          <w:rFonts w:hint="eastAsia" w:ascii="仿宋" w:hAnsi="仿宋" w:eastAsia="仿宋" w:cs="仿宋"/>
          <w:b/>
          <w:sz w:val="32"/>
        </w:rPr>
      </w:pPr>
      <w:bookmarkStart w:id="10"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1" w:name="_Toc533775670"/>
      <w:r>
        <w:rPr>
          <w:rFonts w:hint="eastAsia" w:ascii="仿宋" w:hAnsi="仿宋" w:eastAsia="仿宋" w:cs="仿宋"/>
          <w:b/>
          <w:sz w:val="32"/>
        </w:rPr>
        <w:t>谈判</w:t>
      </w:r>
      <w:bookmarkEnd w:id="11"/>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1.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12.1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12.2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3.最后报价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2" w:name="_Toc376848253"/>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3" w:name="_Toc377297026"/>
    </w:p>
    <w:bookmarkEnd w:id="12"/>
    <w:bookmarkEnd w:id="13"/>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4" w:name="_Toc286758340"/>
      <w:r>
        <w:rPr>
          <w:rFonts w:hint="eastAsia" w:ascii="仿宋" w:hAnsi="仿宋" w:eastAsia="仿宋" w:cs="仿宋"/>
          <w:color w:val="auto"/>
          <w:kern w:val="0"/>
          <w:sz w:val="27"/>
          <w:szCs w:val="27"/>
          <w:highlight w:val="none"/>
          <w:lang w:val="en-US" w:eastAsia="zh-CN"/>
        </w:rPr>
        <w:t>15.</w:t>
      </w:r>
      <w:r>
        <w:rPr>
          <w:rFonts w:hint="eastAsia" w:ascii="仿宋" w:hAnsi="仿宋" w:eastAsia="仿宋" w:cs="仿宋"/>
          <w:color w:val="auto"/>
          <w:kern w:val="0"/>
          <w:sz w:val="27"/>
          <w:szCs w:val="27"/>
          <w:highlight w:val="none"/>
        </w:rPr>
        <w:t xml:space="preserve"> </w:t>
      </w:r>
      <w:bookmarkEnd w:id="14"/>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0"/>
    <w:p>
      <w:pPr>
        <w:pStyle w:val="4"/>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5" w:name="_Toc519"/>
      <w:bookmarkStart w:id="16" w:name="_Toc29202"/>
      <w:bookmarkStart w:id="17"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5"/>
      <w:bookmarkEnd w:id="16"/>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17.</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17</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17</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p>
      <w:pPr>
        <w:pStyle w:val="3"/>
        <w:pageBreakBefore w:val="0"/>
        <w:kinsoku/>
        <w:overflowPunct/>
        <w:topLinePunct w:val="0"/>
        <w:autoSpaceDE/>
        <w:autoSpaceDN/>
        <w:bidi w:val="0"/>
        <w:adjustRightInd/>
        <w:spacing w:before="0" w:after="0" w:line="360" w:lineRule="auto"/>
        <w:jc w:val="both"/>
        <w:textAlignment w:val="auto"/>
        <w:rPr>
          <w:rFonts w:hint="eastAsia" w:ascii="仿宋" w:hAnsi="仿宋" w:eastAsia="仿宋" w:cs="仿宋"/>
          <w:color w:val="auto"/>
          <w:kern w:val="0"/>
          <w:highlight w:val="none"/>
        </w:rPr>
      </w:pPr>
      <w:bookmarkStart w:id="18" w:name="_Toc527"/>
    </w:p>
    <w:bookmarkEnd w:id="17"/>
    <w:bookmarkEnd w:id="18"/>
    <w:p>
      <w:pPr>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numPr>
          <w:numId w:val="0"/>
        </w:numPr>
        <w:ind w:leftChars="0"/>
        <w:rPr>
          <w:rFonts w:hint="eastAsia" w:ascii="仿宋" w:hAnsi="仿宋" w:eastAsia="仿宋" w:cs="仿宋"/>
          <w:color w:val="auto"/>
          <w:kern w:val="0"/>
          <w:sz w:val="32"/>
          <w:szCs w:val="32"/>
          <w:highlight w:val="none"/>
          <w:lang w:val="en-US" w:eastAsia="zh-CN"/>
        </w:rPr>
      </w:pPr>
    </w:p>
    <w:p>
      <w:pPr>
        <w:pStyle w:val="2"/>
        <w:numPr>
          <w:numId w:val="0"/>
        </w:numPr>
        <w:ind w:leftChars="0"/>
        <w:rPr>
          <w:rFonts w:hint="eastAsia" w:ascii="仿宋" w:hAnsi="仿宋" w:eastAsia="仿宋" w:cs="仿宋"/>
          <w:color w:val="auto"/>
          <w:kern w:val="0"/>
          <w:sz w:val="32"/>
          <w:szCs w:val="32"/>
          <w:highlight w:val="none"/>
          <w:lang w:val="en-US" w:eastAsia="zh-CN"/>
        </w:rPr>
      </w:pPr>
    </w:p>
    <w:p>
      <w:pPr>
        <w:pStyle w:val="2"/>
        <w:numPr>
          <w:numId w:val="0"/>
        </w:numPr>
        <w:ind w:leftChars="0"/>
        <w:rPr>
          <w:rFonts w:hint="eastAsia" w:ascii="仿宋" w:hAnsi="仿宋" w:eastAsia="仿宋" w:cs="仿宋"/>
          <w:color w:val="auto"/>
          <w:kern w:val="0"/>
          <w:sz w:val="32"/>
          <w:szCs w:val="32"/>
          <w:highlight w:val="none"/>
          <w:lang w:val="en-US" w:eastAsia="zh-CN"/>
        </w:rPr>
      </w:pPr>
    </w:p>
    <w:p>
      <w:pPr>
        <w:pStyle w:val="2"/>
        <w:numPr>
          <w:numId w:val="0"/>
        </w:numPr>
        <w:ind w:leftChars="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lang w:val="en-US" w:eastAsia="zh-CN"/>
        </w:rPr>
        <w:t>三、采购</w:t>
      </w:r>
      <w:r>
        <w:rPr>
          <w:rFonts w:hint="eastAsia" w:ascii="仿宋" w:hAnsi="仿宋" w:eastAsia="仿宋" w:cs="仿宋"/>
          <w:color w:val="auto"/>
          <w:kern w:val="0"/>
          <w:sz w:val="32"/>
          <w:szCs w:val="32"/>
          <w:highlight w:val="none"/>
        </w:rPr>
        <w:t>项目需求</w:t>
      </w:r>
    </w:p>
    <w:p>
      <w:pPr>
        <w:pStyle w:val="2"/>
        <w:numPr>
          <w:ilvl w:val="0"/>
          <w:numId w:val="0"/>
        </w:numPr>
        <w:ind w:leftChars="0"/>
        <w:rPr>
          <w:rFonts w:hint="eastAsia" w:ascii="仿宋" w:hAnsi="仿宋" w:eastAsia="仿宋" w:cs="仿宋"/>
          <w:color w:val="auto"/>
          <w:kern w:val="0"/>
          <w:sz w:val="27"/>
          <w:szCs w:val="27"/>
          <w:highlight w:val="none"/>
          <w:lang w:val="en-US" w:eastAsia="zh-CN"/>
        </w:rPr>
      </w:pPr>
      <w:r>
        <w:rPr>
          <w:rFonts w:hint="eastAsia" w:ascii="仿宋" w:hAnsi="仿宋" w:eastAsia="仿宋" w:cs="仿宋"/>
          <w:color w:val="auto"/>
          <w:kern w:val="0"/>
          <w:sz w:val="27"/>
          <w:szCs w:val="27"/>
          <w:highlight w:val="none"/>
          <w:lang w:val="en-US" w:eastAsia="zh-CN"/>
        </w:rPr>
        <w:t>1.容量≥1000L ，外观医用耐腐蚀不锈钢材质，全中文触摸操作界面，≥7寸彩色触摸屏。</w:t>
      </w:r>
    </w:p>
    <w:p>
      <w:pPr>
        <w:pStyle w:val="2"/>
        <w:numPr>
          <w:ilvl w:val="0"/>
          <w:numId w:val="0"/>
        </w:numPr>
        <w:ind w:leftChars="0"/>
        <w:rPr>
          <w:rFonts w:hint="eastAsia" w:ascii="仿宋" w:hAnsi="仿宋" w:eastAsia="仿宋" w:cs="仿宋"/>
          <w:color w:val="auto"/>
          <w:kern w:val="0"/>
          <w:sz w:val="27"/>
          <w:szCs w:val="27"/>
          <w:highlight w:val="none"/>
          <w:lang w:val="en-US" w:eastAsia="zh-CN"/>
        </w:rPr>
      </w:pPr>
      <w:r>
        <w:rPr>
          <w:rFonts w:hint="eastAsia" w:ascii="仿宋" w:hAnsi="仿宋" w:eastAsia="仿宋" w:cs="仿宋"/>
          <w:color w:val="auto"/>
          <w:kern w:val="0"/>
          <w:sz w:val="27"/>
          <w:szCs w:val="27"/>
          <w:highlight w:val="none"/>
          <w:lang w:val="en-US" w:eastAsia="zh-CN"/>
        </w:rPr>
        <w:t>2.总功率（W)：≥600W，臭氧消毒浓度：≥60.3mg/m3  </w:t>
      </w:r>
    </w:p>
    <w:p>
      <w:pPr>
        <w:pStyle w:val="2"/>
        <w:numPr>
          <w:ilvl w:val="0"/>
          <w:numId w:val="0"/>
        </w:numPr>
        <w:ind w:leftChars="0"/>
        <w:rPr>
          <w:rFonts w:hint="eastAsia" w:ascii="仿宋" w:hAnsi="仿宋" w:eastAsia="仿宋" w:cs="仿宋"/>
          <w:color w:val="auto"/>
          <w:kern w:val="0"/>
          <w:sz w:val="27"/>
          <w:szCs w:val="27"/>
          <w:highlight w:val="none"/>
          <w:lang w:val="en-US" w:eastAsia="zh-CN"/>
        </w:rPr>
      </w:pPr>
      <w:r>
        <w:rPr>
          <w:rFonts w:hint="eastAsia" w:ascii="仿宋" w:hAnsi="仿宋" w:eastAsia="仿宋" w:cs="仿宋"/>
          <w:color w:val="auto"/>
          <w:kern w:val="0"/>
          <w:sz w:val="27"/>
          <w:szCs w:val="27"/>
          <w:highlight w:val="none"/>
          <w:lang w:val="en-US" w:eastAsia="zh-CN"/>
        </w:rPr>
        <w:t>3.清洗液及臭氧混合消毒工作方式。微电脑触屏控制，工作过程中全程无需人员看守，自动消毒，自动喷洒清洗液，自动风干。一键操作、系统参数可任意设置、柜体整体防静电层。</w:t>
      </w:r>
    </w:p>
    <w:p>
      <w:pPr>
        <w:pStyle w:val="2"/>
        <w:numPr>
          <w:ilvl w:val="0"/>
          <w:numId w:val="0"/>
        </w:numPr>
        <w:ind w:leftChars="0"/>
        <w:rPr>
          <w:rFonts w:hint="eastAsia" w:ascii="仿宋" w:hAnsi="仿宋" w:eastAsia="仿宋" w:cs="仿宋"/>
          <w:color w:val="auto"/>
          <w:kern w:val="0"/>
          <w:sz w:val="27"/>
          <w:szCs w:val="27"/>
          <w:highlight w:val="none"/>
          <w:lang w:val="en-US" w:eastAsia="zh-CN"/>
        </w:rPr>
      </w:pPr>
      <w:r>
        <w:rPr>
          <w:rFonts w:hint="eastAsia" w:ascii="仿宋" w:hAnsi="仿宋" w:eastAsia="仿宋" w:cs="仿宋"/>
          <w:color w:val="auto"/>
          <w:kern w:val="0"/>
          <w:sz w:val="27"/>
          <w:szCs w:val="27"/>
          <w:highlight w:val="none"/>
          <w:lang w:val="en-US" w:eastAsia="zh-CN"/>
        </w:rPr>
        <w:t>4.手动控制+定时控制，防止灭菌状态臭氧的外泄。</w:t>
      </w:r>
      <w:bookmarkStart w:id="35" w:name="_GoBack"/>
      <w:bookmarkEnd w:id="35"/>
    </w:p>
    <w:tbl>
      <w:tblPr>
        <w:tblStyle w:val="15"/>
        <w:tblW w:w="8272" w:type="dxa"/>
        <w:tblInd w:w="97" w:type="dxa"/>
        <w:tblLayout w:type="autofit"/>
        <w:tblCellMar>
          <w:top w:w="0" w:type="dxa"/>
          <w:left w:w="108" w:type="dxa"/>
          <w:bottom w:w="0" w:type="dxa"/>
          <w:right w:w="108" w:type="dxa"/>
        </w:tblCellMar>
      </w:tblPr>
      <w:tblGrid>
        <w:gridCol w:w="8272"/>
      </w:tblGrid>
      <w:tr>
        <w:tblPrEx>
          <w:tblCellMar>
            <w:top w:w="0" w:type="dxa"/>
            <w:left w:w="108" w:type="dxa"/>
            <w:bottom w:w="0" w:type="dxa"/>
            <w:right w:w="108" w:type="dxa"/>
          </w:tblCellMar>
        </w:tblPrEx>
        <w:trPr>
          <w:trHeight w:val="824" w:hRule="atLeast"/>
        </w:trPr>
        <w:tc>
          <w:tcPr>
            <w:tcW w:w="827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4"/>
                <w:szCs w:val="24"/>
              </w:rPr>
            </w:pPr>
            <w:bookmarkStart w:id="19" w:name="_Toc5593"/>
            <w:r>
              <w:rPr>
                <w:rFonts w:hint="eastAsia" w:ascii="仿宋" w:hAnsi="仿宋" w:eastAsia="仿宋" w:cs="仿宋"/>
                <w:color w:val="000000"/>
                <w:sz w:val="24"/>
                <w:u w:val="single"/>
              </w:rPr>
              <w:t xml:space="preserve">         </w:t>
            </w:r>
            <w:r>
              <w:rPr>
                <w:rFonts w:hint="eastAsia" w:ascii="仿宋" w:hAnsi="仿宋" w:eastAsia="仿宋" w:cs="仿宋"/>
                <w:color w:val="000000"/>
                <w:sz w:val="27"/>
                <w:szCs w:val="27"/>
                <w:u w:val="single"/>
              </w:rPr>
              <w:t xml:space="preserve"> </w:t>
            </w:r>
            <w:r>
              <w:rPr>
                <w:rFonts w:hint="eastAsia" w:ascii="仿宋" w:hAnsi="仿宋" w:eastAsia="仿宋" w:cs="仿宋"/>
                <w:color w:val="000000"/>
                <w:sz w:val="27"/>
                <w:szCs w:val="27"/>
                <w:highlight w:val="yellow"/>
                <w:u w:val="single"/>
                <w:lang w:val="en-US" w:eastAsia="zh-CN"/>
              </w:rPr>
              <w:t>医用铅服消毒柜</w:t>
            </w:r>
            <w:r>
              <w:rPr>
                <w:rFonts w:hint="eastAsia" w:ascii="仿宋" w:hAnsi="仿宋" w:eastAsia="仿宋" w:cs="仿宋"/>
                <w:color w:val="000000"/>
                <w:sz w:val="27"/>
                <w:szCs w:val="27"/>
                <w:highlight w:val="yellow"/>
                <w:u w:val="single"/>
              </w:rPr>
              <w:t xml:space="preserve"> </w:t>
            </w:r>
            <w:r>
              <w:rPr>
                <w:rFonts w:hint="eastAsia" w:ascii="仿宋" w:hAnsi="仿宋" w:eastAsia="仿宋" w:cs="仿宋"/>
                <w:color w:val="000000"/>
                <w:sz w:val="27"/>
                <w:szCs w:val="27"/>
                <w:u w:val="single"/>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商务采购需求</w:t>
            </w:r>
          </w:p>
        </w:tc>
      </w:tr>
      <w:tr>
        <w:tblPrEx>
          <w:tblCellMar>
            <w:top w:w="0" w:type="dxa"/>
            <w:left w:w="108" w:type="dxa"/>
            <w:bottom w:w="0" w:type="dxa"/>
            <w:right w:w="108" w:type="dxa"/>
          </w:tblCellMar>
        </w:tblPrEx>
        <w:trPr>
          <w:trHeight w:val="1486"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投标供应商须提</w:t>
            </w:r>
            <w:r>
              <w:rPr>
                <w:rFonts w:hint="eastAsia" w:ascii="仿宋" w:hAnsi="仿宋" w:eastAsia="仿宋" w:cs="仿宋"/>
                <w:b/>
                <w:bCs/>
                <w:color w:val="000000"/>
                <w:sz w:val="24"/>
              </w:rPr>
              <w:t>供全新（生产日期应在供货日期半年内）、原装，</w:t>
            </w:r>
            <w:r>
              <w:rPr>
                <w:rFonts w:hint="eastAsia" w:ascii="仿宋" w:hAnsi="仿宋" w:eastAsia="仿宋" w:cs="仿宋"/>
                <w:color w:val="000000"/>
                <w:sz w:val="24"/>
              </w:rPr>
              <w:t>并符合质量标准的货物。货物如为某单位的专利或特有产品，请投标供应商在答疑期内告知政府集中采购机构。所有货物的知识产权问题，由各投标供应商自行负责。本招标文件提出的是最低限度的要求，投标供应商的方案应达到或优于本招标文件要求，且符合国家有关强制性标准和规范要求。</w:t>
            </w:r>
          </w:p>
        </w:tc>
      </w:tr>
      <w:tr>
        <w:tblPrEx>
          <w:tblCellMar>
            <w:top w:w="0" w:type="dxa"/>
            <w:left w:w="108" w:type="dxa"/>
            <w:bottom w:w="0" w:type="dxa"/>
            <w:right w:w="108" w:type="dxa"/>
          </w:tblCellMar>
        </w:tblPrEx>
        <w:trPr>
          <w:trHeight w:val="853"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b/>
                <w:bCs/>
                <w:color w:val="000000"/>
                <w:sz w:val="24"/>
              </w:rPr>
            </w:pPr>
            <w:r>
              <w:rPr>
                <w:rFonts w:hint="eastAsia" w:ascii="仿宋" w:hAnsi="仿宋" w:eastAsia="仿宋" w:cs="仿宋"/>
                <w:b/>
                <w:bCs/>
                <w:color w:val="000000"/>
                <w:sz w:val="24"/>
              </w:rPr>
              <w:t>如所投货物为进口产品，且制造地与品牌原产地不一致的，需在“投标一览表”中分别注明。</w:t>
            </w:r>
          </w:p>
        </w:tc>
      </w:tr>
      <w:tr>
        <w:tblPrEx>
          <w:tblCellMar>
            <w:top w:w="0" w:type="dxa"/>
            <w:left w:w="108" w:type="dxa"/>
            <w:bottom w:w="0" w:type="dxa"/>
            <w:right w:w="108" w:type="dxa"/>
          </w:tblCellMar>
        </w:tblPrEx>
        <w:trPr>
          <w:trHeight w:val="1045"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中标产品属进口产品的供货时需提供所投产品报关单、检验检疫证明（免检货物提供证明函）、中文说明书、中文标签；所有设备中的软件供货时需提供安装介质；供货时提供仪器装箱单、仪器操作手册和维护手册。同时提供纸质版及电子版的仪器操作手册及维护手册。</w:t>
            </w:r>
          </w:p>
        </w:tc>
      </w:tr>
      <w:tr>
        <w:tblPrEx>
          <w:tblCellMar>
            <w:top w:w="0" w:type="dxa"/>
            <w:left w:w="108" w:type="dxa"/>
            <w:bottom w:w="0" w:type="dxa"/>
            <w:right w:w="108" w:type="dxa"/>
          </w:tblCellMar>
        </w:tblPrEx>
        <w:trPr>
          <w:trHeight w:val="1089"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人员培训要求：提供必要的人员培训，使采购单位的技术人员能熟悉以上设备及软件的操作程序，掌握设备操作技能，并了解主要设备的日常维护、一般故障处理等保证采购单位能独立使用。</w:t>
            </w:r>
          </w:p>
        </w:tc>
      </w:tr>
      <w:tr>
        <w:tblPrEx>
          <w:tblCellMar>
            <w:top w:w="0" w:type="dxa"/>
            <w:left w:w="108" w:type="dxa"/>
            <w:bottom w:w="0" w:type="dxa"/>
            <w:right w:w="108" w:type="dxa"/>
          </w:tblCellMar>
        </w:tblPrEx>
        <w:trPr>
          <w:trHeight w:val="1743"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投标供应商有专门的技术应用支持工程师。安装验收期间，免费对用户指定的两名操作人员进行仪器的基本操作和日常维护的现场培训，内容包括仪器原理，使用方法和维护方法等，培训时需准备培训内容的电子演示稿（PPT版）并制定培训后相关人员的考核试题，对参与培训的人员进行考核，培训结束后将资料一并交给用户，此项为设备验收不可缺少的一部分。</w:t>
            </w:r>
          </w:p>
        </w:tc>
      </w:tr>
      <w:tr>
        <w:tblPrEx>
          <w:tblCellMar>
            <w:top w:w="0" w:type="dxa"/>
            <w:left w:w="108" w:type="dxa"/>
            <w:bottom w:w="0" w:type="dxa"/>
            <w:right w:w="108" w:type="dxa"/>
          </w:tblCellMar>
        </w:tblPrEx>
        <w:trPr>
          <w:trHeight w:val="1059" w:hRule="atLeast"/>
        </w:trPr>
        <w:tc>
          <w:tcPr>
            <w:tcW w:w="8272" w:type="dxa"/>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交货期：卖方应在《成交通知书》规定的时间内和买方签订正式合同，并在合同签订之日起30日历天（进口产品为90日历天）内供齐货并完成该设备的安装、调试工作，验收合格后交给买方使用。</w:t>
            </w:r>
          </w:p>
        </w:tc>
      </w:tr>
      <w:tr>
        <w:tblPrEx>
          <w:tblCellMar>
            <w:top w:w="0" w:type="dxa"/>
            <w:left w:w="108" w:type="dxa"/>
            <w:bottom w:w="0" w:type="dxa"/>
            <w:right w:w="108" w:type="dxa"/>
          </w:tblCellMar>
        </w:tblPrEx>
        <w:trPr>
          <w:trHeight w:val="662"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交货地点：赣州市肿瘤医院指定地点。</w:t>
            </w:r>
          </w:p>
        </w:tc>
      </w:tr>
      <w:tr>
        <w:tblPrEx>
          <w:tblCellMar>
            <w:top w:w="0" w:type="dxa"/>
            <w:left w:w="108" w:type="dxa"/>
            <w:bottom w:w="0" w:type="dxa"/>
            <w:right w:w="108" w:type="dxa"/>
          </w:tblCellMar>
        </w:tblPrEx>
        <w:trPr>
          <w:trHeight w:val="824" w:hRule="atLeast"/>
        </w:trPr>
        <w:tc>
          <w:tcPr>
            <w:tcW w:w="8272" w:type="dxa"/>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color w:val="000000"/>
                <w:sz w:val="24"/>
                <w:lang w:eastAsia="zh-CN"/>
              </w:rPr>
            </w:pPr>
            <w:r>
              <w:rPr>
                <w:rFonts w:hint="eastAsia" w:ascii="仿宋" w:hAnsi="仿宋" w:eastAsia="仿宋" w:cs="仿宋"/>
                <w:color w:val="000000"/>
                <w:sz w:val="24"/>
              </w:rPr>
              <w:t>质保期：为调试验收合格后</w:t>
            </w:r>
            <w:r>
              <w:rPr>
                <w:rFonts w:hint="eastAsia" w:ascii="仿宋" w:hAnsi="仿宋" w:eastAsia="仿宋" w:cs="仿宋"/>
                <w:color w:val="000000"/>
                <w:sz w:val="24"/>
                <w:lang w:val="en-US" w:eastAsia="zh-CN"/>
              </w:rPr>
              <w:t>36</w:t>
            </w:r>
            <w:r>
              <w:rPr>
                <w:rFonts w:hint="eastAsia" w:ascii="仿宋" w:hAnsi="仿宋" w:eastAsia="仿宋" w:cs="仿宋"/>
                <w:color w:val="000000"/>
                <w:sz w:val="24"/>
              </w:rPr>
              <w:t>个月</w:t>
            </w:r>
            <w:r>
              <w:rPr>
                <w:rFonts w:hint="eastAsia" w:ascii="仿宋" w:hAnsi="仿宋" w:eastAsia="仿宋" w:cs="仿宋"/>
                <w:color w:val="000000"/>
                <w:sz w:val="24"/>
                <w:lang w:eastAsia="zh-CN"/>
              </w:rPr>
              <w:t>（</w:t>
            </w:r>
            <w:r>
              <w:rPr>
                <w:rFonts w:hint="eastAsia" w:ascii="仿宋" w:hAnsi="仿宋" w:eastAsia="仿宋" w:cs="仿宋"/>
                <w:color w:val="000000"/>
                <w:sz w:val="24"/>
                <w:lang w:val="en-US" w:eastAsia="zh-CN"/>
              </w:rPr>
              <w:t>进口产品24个月</w:t>
            </w:r>
            <w:r>
              <w:rPr>
                <w:rFonts w:hint="eastAsia" w:ascii="仿宋" w:hAnsi="仿宋" w:eastAsia="仿宋" w:cs="仿宋"/>
                <w:color w:val="000000"/>
                <w:sz w:val="24"/>
                <w:lang w:eastAsia="zh-CN"/>
              </w:rPr>
              <w:t>）</w:t>
            </w:r>
          </w:p>
        </w:tc>
      </w:tr>
      <w:tr>
        <w:tblPrEx>
          <w:tblCellMar>
            <w:top w:w="0" w:type="dxa"/>
            <w:left w:w="108" w:type="dxa"/>
            <w:bottom w:w="0" w:type="dxa"/>
            <w:right w:w="108" w:type="dxa"/>
          </w:tblCellMar>
        </w:tblPrEx>
        <w:trPr>
          <w:trHeight w:val="1221"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如果成交供应商没有按照合同规定的时间交货，采购人可从质保金中扣除违约赔偿费，赔偿费应按每迟交一天，按合同总价的1‰计收。但违约赔偿费的最高限额为合同总价的5%。不足一天超过12小时按一天计算。如果成交供应商在达到最高限额后仍不能交货，采购人可单方面终止合同。</w:t>
            </w:r>
          </w:p>
        </w:tc>
      </w:tr>
      <w:tr>
        <w:tblPrEx>
          <w:tblCellMar>
            <w:top w:w="0" w:type="dxa"/>
            <w:left w:w="108" w:type="dxa"/>
            <w:bottom w:w="0" w:type="dxa"/>
            <w:right w:w="108" w:type="dxa"/>
          </w:tblCellMar>
        </w:tblPrEx>
        <w:trPr>
          <w:trHeight w:val="1868"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如果设备发生故障，接到报修后2小时内响应，电话不能解决的售后维修人员将在 24 小时内到达现场解决故障，48小时不能修复的应在24小时内提供备用机。如无法按时提供备用机，采购人可从质保金中扣除违约赔偿费，赔偿费应按每迟交一天，按合同总价的1‰计收。但违约赔偿费的最高限额为合同总价的5%。不足一天超过12小时按一天计算。如果成交供应商在达到最高限额后仍不能交货，采购人可单方面终止合同。</w:t>
            </w:r>
          </w:p>
        </w:tc>
      </w:tr>
      <w:tr>
        <w:tblPrEx>
          <w:tblCellMar>
            <w:top w:w="0" w:type="dxa"/>
            <w:left w:w="108" w:type="dxa"/>
            <w:bottom w:w="0" w:type="dxa"/>
            <w:right w:w="108" w:type="dxa"/>
          </w:tblCellMar>
        </w:tblPrEx>
        <w:trPr>
          <w:trHeight w:val="1162"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在未提供备用机使用的情况下，如果设备连续故障超过1个月，采购人有权利要求成交供应商更换全新原装设备；也有权利取消合同，不向成交供应商支付任何费用，没收全额履约保证金；同时保留追究中标人赔偿的权利。</w:t>
            </w:r>
          </w:p>
        </w:tc>
      </w:tr>
      <w:tr>
        <w:tblPrEx>
          <w:tblCellMar>
            <w:top w:w="0" w:type="dxa"/>
            <w:left w:w="108" w:type="dxa"/>
            <w:bottom w:w="0" w:type="dxa"/>
            <w:right w:w="108" w:type="dxa"/>
          </w:tblCellMar>
        </w:tblPrEx>
        <w:trPr>
          <w:trHeight w:val="1133"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如果设备同一问题现象经两次维修，货物仍不能达到正常使用，采购人有权利要求投标供应商更换全新原装设备；也有权利取消合同，不向成交供应商支付任何费用，没收履约保证金，同时保留追究中标人赔偿的权利。</w:t>
            </w:r>
          </w:p>
        </w:tc>
      </w:tr>
      <w:tr>
        <w:tblPrEx>
          <w:tblCellMar>
            <w:top w:w="0" w:type="dxa"/>
            <w:left w:w="108" w:type="dxa"/>
            <w:bottom w:w="0" w:type="dxa"/>
            <w:right w:w="108" w:type="dxa"/>
          </w:tblCellMar>
        </w:tblPrEx>
        <w:trPr>
          <w:trHeight w:val="1280" w:hRule="atLeast"/>
        </w:trPr>
        <w:tc>
          <w:tcPr>
            <w:tcW w:w="8272" w:type="dxa"/>
            <w:tcBorders>
              <w:top w:val="nil"/>
              <w:left w:val="single" w:color="auto" w:sz="4" w:space="0"/>
              <w:bottom w:val="single" w:color="auto" w:sz="4" w:space="0"/>
              <w:right w:val="single" w:color="auto" w:sz="4" w:space="0"/>
            </w:tcBorders>
            <w:shd w:val="clear" w:color="auto" w:fill="FFFF00"/>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提供制造商或国内授权代理商出具售后服务承诺书。</w:t>
            </w:r>
            <w:r>
              <w:rPr>
                <w:rFonts w:hint="eastAsia" w:ascii="仿宋" w:hAnsi="仿宋" w:eastAsia="仿宋" w:cs="仿宋"/>
                <w:b/>
                <w:color w:val="000000"/>
                <w:sz w:val="24"/>
              </w:rPr>
              <w:t>售后服务承诺书包括质保期、无条件开放维修权限、开放与医院系统对接端口、年度全保方案及金额等内容。</w:t>
            </w:r>
          </w:p>
        </w:tc>
      </w:tr>
      <w:tr>
        <w:tblPrEx>
          <w:tblCellMar>
            <w:top w:w="0" w:type="dxa"/>
            <w:left w:w="108" w:type="dxa"/>
            <w:bottom w:w="0" w:type="dxa"/>
            <w:right w:w="108" w:type="dxa"/>
          </w:tblCellMar>
        </w:tblPrEx>
        <w:trPr>
          <w:trHeight w:val="1089"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成交供应商须按成交金额的5%缴纳履约保证金，履约保证金由采购人收取。验收合格后履约保证金自动转成质保金，质保期过后退还保证金，不计利息，如有违约，按照合同约定处理。</w:t>
            </w:r>
          </w:p>
        </w:tc>
      </w:tr>
      <w:tr>
        <w:tblPrEx>
          <w:tblCellMar>
            <w:top w:w="0" w:type="dxa"/>
            <w:left w:w="108" w:type="dxa"/>
            <w:bottom w:w="0" w:type="dxa"/>
            <w:right w:w="108" w:type="dxa"/>
          </w:tblCellMar>
        </w:tblPrEx>
        <w:trPr>
          <w:trHeight w:val="696" w:hRule="atLeast"/>
        </w:trPr>
        <w:tc>
          <w:tcPr>
            <w:tcW w:w="8272" w:type="dxa"/>
            <w:tcBorders>
              <w:top w:val="nil"/>
              <w:left w:val="single" w:color="auto" w:sz="4" w:space="0"/>
              <w:bottom w:val="single" w:color="auto" w:sz="4" w:space="0"/>
              <w:right w:val="single" w:color="auto" w:sz="4" w:space="0"/>
            </w:tcBorders>
            <w:shd w:val="clear" w:color="auto" w:fill="FFFFFF"/>
            <w:noWrap w:val="0"/>
            <w:vAlign w:val="top"/>
          </w:tcPr>
          <w:p>
            <w:pPr>
              <w:rPr>
                <w:rFonts w:hint="eastAsia" w:ascii="仿宋" w:hAnsi="仿宋" w:eastAsia="仿宋" w:cs="仿宋"/>
                <w:color w:val="000000"/>
                <w:sz w:val="24"/>
              </w:rPr>
            </w:pPr>
            <w:r>
              <w:rPr>
                <w:rFonts w:hint="eastAsia" w:ascii="仿宋" w:hAnsi="仿宋" w:eastAsia="仿宋" w:cs="仿宋"/>
                <w:color w:val="000000"/>
                <w:sz w:val="24"/>
              </w:rPr>
              <w:t>货物付款方式：合同签订、货物送达、安装调试、培训完成且验收合格后</w:t>
            </w:r>
            <w:r>
              <w:rPr>
                <w:rFonts w:hint="eastAsia" w:ascii="仿宋" w:hAnsi="仿宋" w:eastAsia="仿宋" w:cs="仿宋"/>
                <w:color w:val="000000"/>
                <w:sz w:val="24"/>
                <w:lang w:val="en-US" w:eastAsia="zh-CN"/>
              </w:rPr>
              <w:t>支付合同款的85%，12个月后支付合同款的15%</w:t>
            </w:r>
            <w:r>
              <w:rPr>
                <w:rFonts w:hint="eastAsia" w:ascii="仿宋" w:hAnsi="仿宋" w:eastAsia="仿宋" w:cs="仿宋"/>
                <w:color w:val="000000"/>
                <w:sz w:val="24"/>
              </w:rPr>
              <w:t>。</w:t>
            </w:r>
          </w:p>
        </w:tc>
      </w:tr>
      <w:tr>
        <w:tblPrEx>
          <w:tblCellMar>
            <w:top w:w="0" w:type="dxa"/>
            <w:left w:w="108" w:type="dxa"/>
            <w:bottom w:w="0" w:type="dxa"/>
            <w:right w:w="108" w:type="dxa"/>
          </w:tblCellMar>
        </w:tblPrEx>
        <w:trPr>
          <w:trHeight w:val="633"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验收方式：本项目由采购人组织验收，最终验收报告由采购人出具。</w:t>
            </w:r>
          </w:p>
        </w:tc>
      </w:tr>
      <w:tr>
        <w:tblPrEx>
          <w:tblCellMar>
            <w:top w:w="0" w:type="dxa"/>
            <w:left w:w="108" w:type="dxa"/>
            <w:bottom w:w="0" w:type="dxa"/>
            <w:right w:w="108" w:type="dxa"/>
          </w:tblCellMar>
        </w:tblPrEx>
        <w:trPr>
          <w:trHeight w:val="1133" w:hRule="atLeast"/>
        </w:trPr>
        <w:tc>
          <w:tcPr>
            <w:tcW w:w="8272" w:type="dxa"/>
            <w:tcBorders>
              <w:top w:val="nil"/>
              <w:left w:val="single" w:color="auto" w:sz="4" w:space="0"/>
              <w:bottom w:val="single" w:color="auto" w:sz="4" w:space="0"/>
              <w:right w:val="single" w:color="auto" w:sz="4" w:space="0"/>
            </w:tcBorders>
            <w:noWrap w:val="0"/>
            <w:vAlign w:val="center"/>
          </w:tcPr>
          <w:p>
            <w:pPr>
              <w:rPr>
                <w:rFonts w:hint="eastAsia" w:ascii="仿宋" w:hAnsi="仿宋" w:eastAsia="仿宋" w:cs="仿宋"/>
                <w:color w:val="000000"/>
                <w:sz w:val="24"/>
              </w:rPr>
            </w:pPr>
            <w:r>
              <w:rPr>
                <w:rFonts w:hint="eastAsia" w:ascii="仿宋" w:hAnsi="仿宋" w:eastAsia="仿宋" w:cs="仿宋"/>
                <w:color w:val="000000"/>
                <w:sz w:val="24"/>
              </w:rPr>
              <w:t>成交供应商的报价须包含货物采购、运输、安装调试、培训、技术服务、售后服务及与本项目有关的一切税费。投标供应商所报的投标价在合同执行过程中是固定不变的，不得以任何理由予以变更。</w:t>
            </w:r>
          </w:p>
        </w:tc>
      </w:tr>
    </w:tbl>
    <w:p>
      <w:pPr>
        <w:pStyle w:val="2"/>
        <w:rPr>
          <w:rFonts w:hint="eastAsia" w:ascii="仿宋" w:hAnsi="仿宋" w:eastAsia="仿宋" w:cs="仿宋"/>
          <w:bCs/>
          <w:kern w:val="0"/>
          <w:sz w:val="27"/>
          <w:szCs w:val="27"/>
        </w:rPr>
      </w:pPr>
    </w:p>
    <w:p>
      <w:pPr>
        <w:pStyle w:val="2"/>
        <w:rPr>
          <w:rFonts w:hint="eastAsia" w:ascii="仿宋" w:hAnsi="仿宋" w:eastAsia="仿宋" w:cs="仿宋"/>
          <w:color w:val="auto"/>
          <w:highlight w:val="none"/>
        </w:rPr>
      </w:pPr>
    </w:p>
    <w:bookmarkEnd w:id="19"/>
    <w:p>
      <w:pPr>
        <w:pStyle w:val="3"/>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jc w:val="center"/>
        <w:rPr>
          <w:rFonts w:hint="eastAsia" w:ascii="仿宋" w:hAnsi="仿宋" w:eastAsia="仿宋" w:cs="仿宋"/>
          <w:color w:val="auto"/>
          <w:sz w:val="84"/>
          <w:szCs w:val="84"/>
          <w:highlight w:val="none"/>
          <w:lang w:eastAsia="zh-CN"/>
        </w:rPr>
      </w:pPr>
    </w:p>
    <w:p>
      <w:pPr>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4"/>
        <w:spacing w:before="0" w:after="0" w:line="460" w:lineRule="exact"/>
        <w:ind w:left="0" w:leftChars="0" w:firstLine="0" w:firstLineChars="0"/>
        <w:jc w:val="center"/>
        <w:rPr>
          <w:rFonts w:hint="eastAsia" w:ascii="仿宋" w:hAnsi="仿宋" w:eastAsia="仿宋" w:cs="仿宋"/>
          <w:color w:val="auto"/>
          <w:highlight w:val="none"/>
        </w:rPr>
      </w:pPr>
      <w:bookmarkStart w:id="20" w:name="_Toc919"/>
      <w:bookmarkStart w:id="21" w:name="_Toc5315"/>
    </w:p>
    <w:p>
      <w:pPr>
        <w:pStyle w:val="4"/>
        <w:spacing w:before="0" w:after="0" w:line="460" w:lineRule="exact"/>
        <w:ind w:left="0" w:leftChars="0" w:firstLine="0" w:firstLineChars="0"/>
        <w:jc w:val="center"/>
        <w:rPr>
          <w:rFonts w:hint="eastAsia" w:ascii="仿宋" w:hAnsi="仿宋" w:eastAsia="仿宋" w:cs="仿宋"/>
          <w:color w:val="auto"/>
          <w:highlight w:val="none"/>
        </w:rPr>
      </w:pPr>
    </w:p>
    <w:p>
      <w:pPr>
        <w:pStyle w:val="4"/>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0"/>
      <w:bookmarkEnd w:id="21"/>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90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9"/>
        <w:rPr>
          <w:rFonts w:hint="eastAsia" w:ascii="仿宋" w:hAnsi="仿宋" w:eastAsia="仿宋" w:cs="仿宋"/>
          <w:color w:val="auto"/>
          <w:highlight w:val="none"/>
        </w:rPr>
      </w:pPr>
    </w:p>
    <w:p>
      <w:pPr>
        <w:pStyle w:val="9"/>
        <w:ind w:left="0" w:leftChars="0" w:firstLine="0" w:firstLineChars="0"/>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bookmarkStart w:id="22" w:name="_Toc413396840"/>
      <w:bookmarkStart w:id="23" w:name="_Toc19814"/>
      <w:bookmarkStart w:id="24" w:name="_Toc331493648"/>
      <w:bookmarkStart w:id="25" w:name="_Toc22759"/>
    </w:p>
    <w:p>
      <w:pPr>
        <w:rPr>
          <w:rFonts w:hint="eastAsia" w:ascii="仿宋" w:hAnsi="仿宋" w:eastAsia="仿宋" w:cs="仿宋"/>
          <w:color w:val="auto"/>
          <w:highlight w:val="none"/>
        </w:rPr>
      </w:pPr>
    </w:p>
    <w:p>
      <w:pPr>
        <w:pStyle w:val="9"/>
        <w:rPr>
          <w:rFonts w:hint="eastAsia" w:ascii="仿宋" w:hAnsi="仿宋" w:eastAsia="仿宋" w:cs="仿宋"/>
          <w:color w:val="auto"/>
          <w:highlight w:val="none"/>
        </w:rPr>
      </w:pPr>
    </w:p>
    <w:bookmarkEnd w:id="22"/>
    <w:bookmarkEnd w:id="23"/>
    <w:bookmarkEnd w:id="24"/>
    <w:bookmarkEnd w:id="25"/>
    <w:p>
      <w:pPr>
        <w:pStyle w:val="4"/>
        <w:ind w:left="0" w:leftChars="0" w:firstLine="0" w:firstLineChars="0"/>
        <w:jc w:val="center"/>
        <w:rPr>
          <w:rFonts w:hint="eastAsia" w:ascii="仿宋" w:hAnsi="仿宋" w:eastAsia="仿宋" w:cs="仿宋"/>
          <w:kern w:val="0"/>
        </w:rPr>
      </w:pPr>
      <w:bookmarkStart w:id="26" w:name="_Toc480191543"/>
      <w:bookmarkStart w:id="27" w:name="_Toc485736232"/>
      <w:bookmarkStart w:id="28" w:name="_Toc1161"/>
      <w:bookmarkStart w:id="29" w:name="_Toc6176"/>
      <w:bookmarkStart w:id="30" w:name="_Toc331493653"/>
      <w:bookmarkStart w:id="31" w:name="_Toc413396845"/>
      <w:r>
        <w:rPr>
          <w:rFonts w:hint="eastAsia" w:ascii="仿宋" w:hAnsi="仿宋" w:eastAsia="仿宋" w:cs="仿宋"/>
          <w:kern w:val="0"/>
          <w:lang w:val="en-US" w:eastAsia="zh-CN"/>
        </w:rPr>
        <w:t>2</w:t>
      </w:r>
      <w:r>
        <w:rPr>
          <w:rFonts w:hint="eastAsia" w:ascii="仿宋" w:hAnsi="仿宋" w:eastAsia="仿宋" w:cs="仿宋"/>
          <w:kern w:val="0"/>
        </w:rPr>
        <w:t>、 响应货物报价一览表</w:t>
      </w:r>
      <w:bookmarkEnd w:id="26"/>
      <w:bookmarkEnd w:id="27"/>
    </w:p>
    <w:p>
      <w:pPr>
        <w:widowControl/>
        <w:ind w:left="4155" w:leftChars="50" w:hanging="4050" w:hangingChars="1500"/>
        <w:jc w:val="left"/>
        <w:rPr>
          <w:rFonts w:hint="eastAsia" w:ascii="仿宋" w:hAnsi="仿宋" w:eastAsia="仿宋" w:cs="仿宋"/>
          <w:kern w:val="0"/>
          <w:sz w:val="27"/>
          <w:szCs w:val="27"/>
        </w:rPr>
      </w:pPr>
      <w:r>
        <w:rPr>
          <w:rFonts w:hint="eastAsia" w:ascii="仿宋" w:hAnsi="仿宋" w:eastAsia="仿宋" w:cs="仿宋"/>
          <w:kern w:val="0"/>
          <w:sz w:val="27"/>
          <w:szCs w:val="27"/>
        </w:rPr>
        <w:t xml:space="preserve"> 响应供应商（公章）                                        </w:t>
      </w:r>
      <w:r>
        <w:rPr>
          <w:rFonts w:hint="eastAsia" w:ascii="仿宋" w:hAnsi="仿宋" w:eastAsia="仿宋" w:cs="仿宋"/>
          <w:kern w:val="0"/>
          <w:sz w:val="27"/>
          <w:szCs w:val="27"/>
          <w:lang w:val="en-US" w:eastAsia="zh-CN"/>
        </w:rPr>
        <w:t>项目编号：</w:t>
      </w:r>
      <w:r>
        <w:rPr>
          <w:rFonts w:hint="eastAsia" w:ascii="仿宋" w:hAnsi="仿宋" w:eastAsia="仿宋" w:cs="仿宋"/>
          <w:kern w:val="0"/>
          <w:sz w:val="27"/>
          <w:szCs w:val="27"/>
        </w:rPr>
        <w:t xml:space="preserve">      </w:t>
      </w:r>
    </w:p>
    <w:p>
      <w:pPr>
        <w:pStyle w:val="2"/>
        <w:rPr>
          <w:rFonts w:hint="eastAsia" w:ascii="仿宋" w:hAnsi="仿宋" w:eastAsia="仿宋" w:cs="仿宋"/>
        </w:rPr>
      </w:pPr>
    </w:p>
    <w:tbl>
      <w:tblPr>
        <w:tblStyle w:val="15"/>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货物名称</w:t>
            </w:r>
          </w:p>
        </w:tc>
        <w:tc>
          <w:tcPr>
            <w:tcW w:w="1260"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品牌型号</w:t>
            </w:r>
          </w:p>
        </w:tc>
        <w:tc>
          <w:tcPr>
            <w:tcW w:w="1215"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数量及单位</w:t>
            </w:r>
          </w:p>
        </w:tc>
        <w:tc>
          <w:tcPr>
            <w:tcW w:w="1139"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单价</w:t>
            </w:r>
          </w:p>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（万元）</w:t>
            </w:r>
          </w:p>
        </w:tc>
        <w:tc>
          <w:tcPr>
            <w:tcW w:w="1139"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总价</w:t>
            </w:r>
          </w:p>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（万元）</w:t>
            </w:r>
          </w:p>
        </w:tc>
        <w:tc>
          <w:tcPr>
            <w:tcW w:w="726"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保修期限</w:t>
            </w:r>
          </w:p>
        </w:tc>
        <w:tc>
          <w:tcPr>
            <w:tcW w:w="1845"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设备注册寿命或说明书规定使用年限</w:t>
            </w:r>
          </w:p>
        </w:tc>
        <w:tc>
          <w:tcPr>
            <w:tcW w:w="1035"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制造商名称</w:t>
            </w:r>
          </w:p>
        </w:tc>
        <w:tc>
          <w:tcPr>
            <w:tcW w:w="1586" w:type="dxa"/>
            <w:noWrap w:val="0"/>
            <w:vAlign w:val="center"/>
          </w:tcPr>
          <w:p>
            <w:pPr>
              <w:widowControl/>
              <w:snapToGrid w:val="0"/>
              <w:jc w:val="center"/>
              <w:rPr>
                <w:rFonts w:hint="eastAsia" w:ascii="仿宋" w:hAnsi="仿宋" w:eastAsia="仿宋" w:cs="仿宋"/>
                <w:kern w:val="0"/>
                <w:sz w:val="28"/>
                <w:szCs w:val="28"/>
              </w:rPr>
            </w:pPr>
            <w:r>
              <w:rPr>
                <w:rFonts w:hint="eastAsia" w:ascii="仿宋" w:hAnsi="仿宋" w:eastAsia="仿宋" w:cs="仿宋"/>
                <w:kern w:val="0"/>
                <w:sz w:val="28"/>
                <w:szCs w:val="28"/>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kern w:val="0"/>
                <w:sz w:val="28"/>
                <w:szCs w:val="28"/>
              </w:rPr>
            </w:pPr>
          </w:p>
        </w:tc>
        <w:tc>
          <w:tcPr>
            <w:tcW w:w="1260" w:type="dxa"/>
            <w:noWrap w:val="0"/>
            <w:vAlign w:val="center"/>
          </w:tcPr>
          <w:p>
            <w:pPr>
              <w:widowControl/>
              <w:spacing w:line="360" w:lineRule="auto"/>
              <w:jc w:val="center"/>
              <w:rPr>
                <w:rFonts w:hint="eastAsia" w:ascii="仿宋" w:hAnsi="仿宋" w:eastAsia="仿宋" w:cs="仿宋"/>
                <w:kern w:val="0"/>
                <w:sz w:val="28"/>
                <w:szCs w:val="28"/>
              </w:rPr>
            </w:pPr>
          </w:p>
        </w:tc>
        <w:tc>
          <w:tcPr>
            <w:tcW w:w="1215" w:type="dxa"/>
            <w:noWrap w:val="0"/>
            <w:vAlign w:val="center"/>
          </w:tcPr>
          <w:p>
            <w:pPr>
              <w:widowControl/>
              <w:spacing w:line="360" w:lineRule="auto"/>
              <w:jc w:val="center"/>
              <w:rPr>
                <w:rFonts w:hint="eastAsia" w:ascii="仿宋" w:hAnsi="仿宋" w:eastAsia="仿宋" w:cs="仿宋"/>
                <w:kern w:val="0"/>
                <w:sz w:val="28"/>
                <w:szCs w:val="28"/>
              </w:rPr>
            </w:pPr>
          </w:p>
        </w:tc>
        <w:tc>
          <w:tcPr>
            <w:tcW w:w="1139" w:type="dxa"/>
            <w:noWrap w:val="0"/>
            <w:vAlign w:val="center"/>
          </w:tcPr>
          <w:p>
            <w:pPr>
              <w:widowControl/>
              <w:spacing w:line="360" w:lineRule="auto"/>
              <w:jc w:val="center"/>
              <w:rPr>
                <w:rFonts w:hint="eastAsia" w:ascii="仿宋" w:hAnsi="仿宋" w:eastAsia="仿宋" w:cs="仿宋"/>
                <w:kern w:val="0"/>
                <w:sz w:val="28"/>
                <w:szCs w:val="28"/>
              </w:rPr>
            </w:pPr>
          </w:p>
        </w:tc>
        <w:tc>
          <w:tcPr>
            <w:tcW w:w="1139" w:type="dxa"/>
            <w:noWrap w:val="0"/>
            <w:vAlign w:val="center"/>
          </w:tcPr>
          <w:p>
            <w:pPr>
              <w:widowControl/>
              <w:spacing w:line="360" w:lineRule="auto"/>
              <w:jc w:val="center"/>
              <w:rPr>
                <w:rFonts w:hint="eastAsia" w:ascii="仿宋" w:hAnsi="仿宋" w:eastAsia="仿宋" w:cs="仿宋"/>
                <w:kern w:val="0"/>
                <w:sz w:val="28"/>
                <w:szCs w:val="28"/>
              </w:rPr>
            </w:pPr>
          </w:p>
        </w:tc>
        <w:tc>
          <w:tcPr>
            <w:tcW w:w="726" w:type="dxa"/>
            <w:noWrap w:val="0"/>
            <w:vAlign w:val="center"/>
          </w:tcPr>
          <w:p>
            <w:pPr>
              <w:widowControl/>
              <w:spacing w:line="360" w:lineRule="auto"/>
              <w:jc w:val="center"/>
              <w:rPr>
                <w:rFonts w:hint="eastAsia" w:ascii="仿宋" w:hAnsi="仿宋" w:eastAsia="仿宋" w:cs="仿宋"/>
                <w:kern w:val="0"/>
                <w:sz w:val="28"/>
                <w:szCs w:val="28"/>
              </w:rPr>
            </w:pPr>
          </w:p>
        </w:tc>
        <w:tc>
          <w:tcPr>
            <w:tcW w:w="1845" w:type="dxa"/>
            <w:noWrap w:val="0"/>
            <w:vAlign w:val="center"/>
          </w:tcPr>
          <w:p>
            <w:pPr>
              <w:widowControl/>
              <w:spacing w:line="360" w:lineRule="auto"/>
              <w:jc w:val="center"/>
              <w:rPr>
                <w:rFonts w:hint="eastAsia" w:ascii="仿宋" w:hAnsi="仿宋" w:eastAsia="仿宋" w:cs="仿宋"/>
                <w:kern w:val="0"/>
                <w:sz w:val="28"/>
                <w:szCs w:val="28"/>
              </w:rPr>
            </w:pPr>
          </w:p>
        </w:tc>
        <w:tc>
          <w:tcPr>
            <w:tcW w:w="1035" w:type="dxa"/>
            <w:noWrap w:val="0"/>
            <w:vAlign w:val="center"/>
          </w:tcPr>
          <w:p>
            <w:pPr>
              <w:widowControl/>
              <w:spacing w:line="360" w:lineRule="auto"/>
              <w:jc w:val="center"/>
              <w:rPr>
                <w:rFonts w:hint="eastAsia" w:ascii="仿宋" w:hAnsi="仿宋" w:eastAsia="仿宋" w:cs="仿宋"/>
                <w:kern w:val="0"/>
                <w:sz w:val="28"/>
                <w:szCs w:val="28"/>
              </w:rPr>
            </w:pPr>
          </w:p>
        </w:tc>
        <w:tc>
          <w:tcPr>
            <w:tcW w:w="1586" w:type="dxa"/>
            <w:noWrap w:val="0"/>
            <w:vAlign w:val="center"/>
          </w:tcPr>
          <w:p>
            <w:pPr>
              <w:widowControl/>
              <w:spacing w:line="360" w:lineRule="auto"/>
              <w:jc w:val="center"/>
              <w:rPr>
                <w:rFonts w:hint="eastAsia" w:ascii="仿宋" w:hAnsi="仿宋" w:eastAsia="仿宋" w:cs="仿宋"/>
                <w:kern w:val="0"/>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kern w:val="0"/>
          <w:sz w:val="27"/>
          <w:szCs w:val="27"/>
        </w:rPr>
      </w:pPr>
      <w:r>
        <w:rPr>
          <w:rFonts w:hint="eastAsia" w:ascii="仿宋" w:hAnsi="仿宋" w:eastAsia="仿宋" w:cs="仿宋"/>
          <w:kern w:val="0"/>
          <w:sz w:val="27"/>
          <w:szCs w:val="27"/>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kern w:val="0"/>
          <w:sz w:val="27"/>
          <w:szCs w:val="27"/>
        </w:rPr>
      </w:pPr>
      <w:r>
        <w:rPr>
          <w:rFonts w:hint="eastAsia" w:ascii="仿宋" w:hAnsi="仿宋" w:eastAsia="仿宋" w:cs="仿宋"/>
          <w:kern w:val="0"/>
          <w:sz w:val="27"/>
          <w:szCs w:val="27"/>
        </w:rPr>
        <w:t>联系人及电话：</w:t>
      </w:r>
      <w:r>
        <w:rPr>
          <w:rFonts w:hint="eastAsia" w:ascii="仿宋" w:hAnsi="仿宋" w:eastAsia="仿宋" w:cs="仿宋"/>
          <w:kern w:val="0"/>
          <w:sz w:val="27"/>
          <w:szCs w:val="27"/>
          <w:u w:val="none"/>
        </w:rPr>
        <w:t xml:space="preserve">____________________________   </w:t>
      </w:r>
    </w:p>
    <w:p>
      <w:pPr>
        <w:widowControl/>
        <w:spacing w:before="100" w:beforeAutospacing="1" w:after="100" w:afterAutospacing="1" w:line="360" w:lineRule="auto"/>
        <w:rPr>
          <w:rFonts w:hint="eastAsia" w:ascii="仿宋" w:hAnsi="仿宋" w:eastAsia="仿宋" w:cs="仿宋"/>
          <w:kern w:val="0"/>
          <w:sz w:val="27"/>
          <w:szCs w:val="27"/>
        </w:rPr>
      </w:pPr>
      <w:r>
        <w:rPr>
          <w:rFonts w:hint="eastAsia" w:ascii="仿宋" w:hAnsi="仿宋" w:eastAsia="仿宋" w:cs="仿宋"/>
          <w:kern w:val="0"/>
          <w:sz w:val="27"/>
          <w:szCs w:val="27"/>
        </w:rPr>
        <w:t> 时间：          年    月    日</w:t>
      </w:r>
    </w:p>
    <w:p>
      <w:pPr>
        <w:rPr>
          <w:rFonts w:hint="eastAsia" w:ascii="仿宋" w:hAnsi="仿宋" w:eastAsia="仿宋" w:cs="仿宋"/>
          <w:kern w:val="0"/>
        </w:rPr>
      </w:pPr>
    </w:p>
    <w:p>
      <w:pPr>
        <w:rPr>
          <w:rFonts w:hint="eastAsia" w:ascii="仿宋" w:hAnsi="仿宋" w:eastAsia="仿宋" w:cs="仿宋"/>
          <w:kern w:val="0"/>
          <w:sz w:val="27"/>
          <w:szCs w:val="27"/>
        </w:rPr>
      </w:pPr>
      <w:r>
        <w:rPr>
          <w:rFonts w:hint="eastAsia" w:ascii="仿宋" w:hAnsi="仿宋" w:eastAsia="仿宋" w:cs="仿宋"/>
          <w:kern w:val="0"/>
          <w:sz w:val="27"/>
          <w:szCs w:val="27"/>
        </w:rPr>
        <w:t>注:“设备注册寿命或说明书规定使用年限”指机器设计或注册时确定的机器使用期限，提供说明书或机身铭牌截图证明。</w:t>
      </w:r>
    </w:p>
    <w:p>
      <w:pPr>
        <w:ind w:right="28"/>
        <w:rPr>
          <w:rFonts w:hint="eastAsia" w:ascii="仿宋" w:hAnsi="仿宋" w:eastAsia="仿宋" w:cs="仿宋"/>
          <w:color w:val="000000"/>
          <w:sz w:val="28"/>
          <w:szCs w:val="28"/>
        </w:rPr>
      </w:pPr>
    </w:p>
    <w:p>
      <w:pPr>
        <w:pStyle w:val="4"/>
        <w:spacing w:before="0" w:after="0" w:line="460" w:lineRule="exact"/>
        <w:ind w:firstLine="0"/>
        <w:rPr>
          <w:rFonts w:hint="eastAsia" w:ascii="仿宋" w:hAnsi="仿宋" w:eastAsia="仿宋" w:cs="仿宋"/>
          <w:color w:val="auto"/>
          <w:highlight w:val="none"/>
        </w:rPr>
      </w:pPr>
    </w:p>
    <w:p>
      <w:pPr>
        <w:pStyle w:val="4"/>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bookmarkEnd w:id="28"/>
    <w:bookmarkEnd w:id="29"/>
    <w:bookmarkEnd w:id="30"/>
    <w:bookmarkEnd w:id="31"/>
    <w:p>
      <w:pPr>
        <w:pStyle w:val="4"/>
        <w:spacing w:before="0" w:after="0" w:line="460" w:lineRule="exact"/>
        <w:ind w:firstLine="0"/>
        <w:jc w:val="both"/>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p>
    <w:p>
      <w:pPr>
        <w:pStyle w:val="9"/>
        <w:rPr>
          <w:rFonts w:hint="eastAsia" w:ascii="仿宋" w:hAnsi="仿宋" w:eastAsia="仿宋" w:cs="仿宋"/>
          <w:color w:val="auto"/>
          <w:highlight w:val="none"/>
          <w:lang w:eastAsia="zh-CN"/>
        </w:rPr>
      </w:pPr>
    </w:p>
    <w:p>
      <w:pPr>
        <w:pStyle w:val="4"/>
        <w:spacing w:before="0" w:after="0" w:line="460" w:lineRule="exact"/>
        <w:ind w:firstLine="0"/>
        <w:jc w:val="both"/>
        <w:rPr>
          <w:rFonts w:hint="eastAsia" w:ascii="仿宋" w:hAnsi="仿宋" w:eastAsia="仿宋" w:cs="仿宋"/>
          <w:color w:val="auto"/>
          <w:highlight w:val="none"/>
        </w:rPr>
      </w:pPr>
      <w:r>
        <w:rPr>
          <w:rFonts w:hint="eastAsia" w:ascii="仿宋" w:hAnsi="仿宋" w:eastAsia="仿宋" w:cs="仿宋"/>
          <w:color w:val="auto"/>
          <w:highlight w:val="none"/>
        </w:rPr>
        <w:t>3．资格证明文件</w:t>
      </w:r>
    </w:p>
    <w:p>
      <w:pPr>
        <w:spacing w:line="432" w:lineRule="auto"/>
        <w:ind w:firstLine="540" w:firstLineChars="200"/>
        <w:rPr>
          <w:rFonts w:hint="eastAsia" w:ascii="仿宋" w:hAnsi="仿宋" w:eastAsia="仿宋" w:cs="仿宋"/>
          <w:color w:val="auto"/>
          <w:sz w:val="27"/>
          <w:szCs w:val="27"/>
          <w:highlight w:val="none"/>
        </w:rPr>
      </w:pPr>
    </w:p>
    <w:p>
      <w:pPr>
        <w:spacing w:line="432" w:lineRule="auto"/>
        <w:ind w:firstLine="540" w:firstLineChars="200"/>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 xml:space="preserve">3-1. </w:t>
      </w:r>
      <w:r>
        <w:rPr>
          <w:rFonts w:hint="eastAsia" w:ascii="仿宋" w:hAnsi="仿宋" w:eastAsia="仿宋" w:cs="仿宋"/>
          <w:color w:val="auto"/>
          <w:sz w:val="27"/>
          <w:szCs w:val="27"/>
          <w:highlight w:val="none"/>
          <w:lang w:eastAsia="zh-CN"/>
        </w:rPr>
        <w:t>提供具有法人资格的营业执照（三证合一或五证合一）复印件并加盖公章；</w:t>
      </w:r>
    </w:p>
    <w:p>
      <w:pPr>
        <w:spacing w:line="432" w:lineRule="auto"/>
        <w:ind w:left="143" w:leftChars="68"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2具有履行合同所必需的设备和专业技术能力；</w:t>
      </w:r>
    </w:p>
    <w:p>
      <w:pPr>
        <w:spacing w:line="432" w:lineRule="auto"/>
        <w:ind w:left="143" w:leftChars="68" w:firstLine="405" w:firstLineChars="150"/>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val="en-US" w:eastAsia="zh-CN"/>
        </w:rPr>
        <w:t>-</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投标人</w:t>
      </w:r>
      <w:r>
        <w:rPr>
          <w:rFonts w:hint="eastAsia" w:ascii="仿宋" w:hAnsi="仿宋" w:eastAsia="仿宋" w:cs="仿宋"/>
          <w:color w:val="auto"/>
          <w:sz w:val="27"/>
          <w:szCs w:val="27"/>
          <w:highlight w:val="none"/>
          <w:lang w:val="en-US" w:eastAsia="zh-CN"/>
        </w:rPr>
        <w:t>近三年内与其他医院可视软镜的合作协议（复印件）；</w:t>
      </w:r>
    </w:p>
    <w:p>
      <w:pPr>
        <w:spacing w:line="432" w:lineRule="auto"/>
        <w:ind w:left="143" w:leftChars="68" w:firstLine="405" w:firstLineChars="150"/>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.法定代表人授权书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rPr>
        <w:t>（格式附后</w:t>
      </w:r>
      <w:r>
        <w:rPr>
          <w:rFonts w:hint="eastAsia" w:ascii="仿宋" w:hAnsi="仿宋" w:eastAsia="仿宋" w:cs="仿宋"/>
          <w:color w:val="auto"/>
          <w:sz w:val="27"/>
          <w:szCs w:val="27"/>
          <w:highlight w:val="none"/>
          <w:lang w:eastAsia="zh-CN"/>
        </w:rPr>
        <w:t>，身份证原件备查</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w:t>
      </w:r>
    </w:p>
    <w:p>
      <w:pPr>
        <w:spacing w:line="440" w:lineRule="exact"/>
        <w:rPr>
          <w:rFonts w:hint="eastAsia" w:ascii="仿宋" w:hAnsi="仿宋" w:eastAsia="仿宋" w:cs="仿宋"/>
          <w:color w:val="auto"/>
          <w:sz w:val="27"/>
          <w:szCs w:val="27"/>
          <w:highlight w:val="none"/>
        </w:rPr>
      </w:pPr>
    </w:p>
    <w:p>
      <w:pPr>
        <w:pStyle w:val="9"/>
        <w:rPr>
          <w:rFonts w:hint="eastAsia" w:ascii="仿宋" w:hAnsi="仿宋" w:eastAsia="仿宋" w:cs="仿宋"/>
          <w:b/>
          <w:bCs/>
          <w:color w:val="auto"/>
          <w:sz w:val="27"/>
          <w:szCs w:val="27"/>
          <w:highlight w:val="none"/>
        </w:rPr>
      </w:pPr>
      <w:bookmarkStart w:id="32" w:name="_Toc413396848"/>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bookmarkEnd w:id="32"/>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bookmarkStart w:id="33" w:name="_Toc7073"/>
      <w:bookmarkStart w:id="34" w:name="_Toc413396854"/>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3-1、 提供具有法人资格的营业执照（三证合一或五证合一）复印件并加盖公章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3-2、投标人关于具备履行竞争性谈判合同所必需的设备书面承诺函（格式）</w:t>
      </w:r>
    </w:p>
    <w:p>
      <w:pPr>
        <w:jc w:val="cente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投标人名称（或自然人姓名）在参加本次竞争性谈判活动中，如获成交，保证具有履行本次竞争性谈判合同所必须的设备。</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名称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r>
        <w:rPr>
          <w:rFonts w:hint="eastAsia" w:ascii="仿宋" w:hAnsi="仿宋" w:eastAsia="仿宋" w:cs="仿宋"/>
          <w:color w:val="auto"/>
          <w:kern w:val="0"/>
          <w:sz w:val="28"/>
          <w:szCs w:val="28"/>
          <w:highlight w:val="none"/>
          <w:lang w:val="en-US" w:eastAsia="zh-CN" w:bidi="ar-SA"/>
        </w:rPr>
        <w:t>  </w:t>
      </w: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投标人关于具备履行竞争性谈判合同所必需的专业技术能力书面承诺函</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（格式）</w:t>
      </w:r>
    </w:p>
    <w:p>
      <w:pP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投标人名称（或自然人姓名）在参加本次竞争性谈判活动中，如获成交，保证具有履行本次竞争性谈判合同所必需的专业技术能力。</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  </w:t>
      </w:r>
      <w:r>
        <w:rPr>
          <w:rFonts w:hint="eastAsia" w:ascii="仿宋" w:hAnsi="仿宋" w:eastAsia="仿宋" w:cs="仿宋"/>
          <w:color w:val="auto"/>
          <w:kern w:val="0"/>
          <w:sz w:val="28"/>
          <w:szCs w:val="28"/>
          <w:highlight w:val="none"/>
        </w:rPr>
        <w:t> </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p>
    <w:p>
      <w:pPr>
        <w:widowControl w:val="0"/>
        <w:snapToGrid w:val="0"/>
        <w:spacing w:line="360" w:lineRule="auto"/>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3-3、 投标人近三年内与其他医院</w:t>
      </w:r>
      <w:r>
        <w:rPr>
          <w:rFonts w:hint="eastAsia" w:ascii="仿宋" w:hAnsi="仿宋" w:eastAsia="仿宋" w:cs="仿宋"/>
          <w:b/>
          <w:color w:val="auto"/>
          <w:kern w:val="2"/>
          <w:sz w:val="28"/>
          <w:szCs w:val="28"/>
          <w:highlight w:val="yellow"/>
          <w:lang w:val="en-US" w:eastAsia="zh-CN" w:bidi="ar-SA"/>
        </w:rPr>
        <w:t>医用铅服消毒柜</w:t>
      </w:r>
      <w:r>
        <w:rPr>
          <w:rFonts w:hint="eastAsia" w:ascii="仿宋" w:hAnsi="仿宋" w:eastAsia="仿宋" w:cs="仿宋"/>
          <w:b/>
          <w:color w:val="auto"/>
          <w:kern w:val="2"/>
          <w:sz w:val="28"/>
          <w:szCs w:val="28"/>
          <w:highlight w:val="none"/>
          <w:lang w:val="en-US" w:eastAsia="zh-CN" w:bidi="ar-SA"/>
        </w:rPr>
        <w:t>的合作协议（复印件）。</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kern w:val="0"/>
          <w:sz w:val="32"/>
          <w:szCs w:val="32"/>
          <w:highlight w:val="none"/>
        </w:rPr>
      </w:pPr>
    </w:p>
    <w:p>
      <w:pPr>
        <w:pStyle w:val="2"/>
        <w:rPr>
          <w:rFonts w:hint="eastAsia" w:ascii="仿宋" w:hAnsi="仿宋" w:eastAsia="仿宋" w:cs="仿宋"/>
          <w:b/>
          <w:bCs/>
          <w:color w:val="auto"/>
          <w:kern w:val="0"/>
          <w:sz w:val="32"/>
          <w:szCs w:val="32"/>
          <w:highlight w:val="none"/>
        </w:rPr>
      </w:pPr>
    </w:p>
    <w:p>
      <w:pPr>
        <w:pStyle w:val="2"/>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27"/>
          <w:szCs w:val="27"/>
          <w:highlight w:val="none"/>
        </w:rPr>
      </w:pPr>
      <w:r>
        <w:rPr>
          <w:rFonts w:hint="eastAsia" w:ascii="仿宋" w:hAnsi="仿宋" w:eastAsia="仿宋" w:cs="仿宋"/>
          <w:b/>
          <w:bCs/>
          <w:color w:val="auto"/>
          <w:kern w:val="0"/>
          <w:sz w:val="32"/>
          <w:szCs w:val="32"/>
          <w:highlight w:val="none"/>
        </w:rPr>
        <w:t>3-</w:t>
      </w:r>
      <w:r>
        <w:rPr>
          <w:rFonts w:hint="eastAsia" w:ascii="仿宋" w:hAnsi="仿宋" w:eastAsia="仿宋" w:cs="仿宋"/>
          <w:b/>
          <w:bCs/>
          <w:color w:val="auto"/>
          <w:kern w:val="0"/>
          <w:sz w:val="32"/>
          <w:szCs w:val="32"/>
          <w:highlight w:val="none"/>
          <w:lang w:val="en-US" w:eastAsia="zh-CN"/>
        </w:rPr>
        <w:t>4</w:t>
      </w:r>
      <w:r>
        <w:rPr>
          <w:rFonts w:hint="eastAsia" w:ascii="仿宋" w:hAnsi="仿宋" w:eastAsia="仿宋" w:cs="仿宋"/>
          <w:b/>
          <w:bCs/>
          <w:color w:val="auto"/>
          <w:kern w:val="0"/>
          <w:sz w:val="32"/>
          <w:szCs w:val="32"/>
          <w:highlight w:val="none"/>
        </w:rPr>
        <w:t>. 法定代表人（或负责人或经营者）授权书（格式）</w:t>
      </w:r>
      <w:bookmarkEnd w:id="33"/>
    </w:p>
    <w:p>
      <w:pPr>
        <w:spacing w:line="480" w:lineRule="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致: </w:t>
      </w:r>
      <w:r>
        <w:rPr>
          <w:rFonts w:hint="eastAsia" w:ascii="仿宋" w:hAnsi="仿宋" w:eastAsia="仿宋" w:cs="仿宋"/>
          <w:color w:val="auto"/>
          <w:sz w:val="27"/>
          <w:szCs w:val="27"/>
          <w:highlight w:val="none"/>
          <w:lang w:val="en-US" w:eastAsia="zh-CN"/>
        </w:rPr>
        <w:t>赣州市肿瘤医院</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u w:val="single"/>
        </w:rPr>
        <w:t>（投标人全称）法定代表人（或负责人或经营者）</w:t>
      </w:r>
      <w:r>
        <w:rPr>
          <w:rFonts w:hint="eastAsia" w:ascii="仿宋" w:hAnsi="仿宋" w:eastAsia="仿宋" w:cs="仿宋"/>
          <w:color w:val="auto"/>
          <w:sz w:val="27"/>
          <w:szCs w:val="27"/>
          <w:highlight w:val="none"/>
        </w:rPr>
        <w:t>授权</w:t>
      </w:r>
      <w:r>
        <w:rPr>
          <w:rFonts w:hint="eastAsia" w:ascii="仿宋" w:hAnsi="仿宋" w:eastAsia="仿宋" w:cs="仿宋"/>
          <w:color w:val="auto"/>
          <w:sz w:val="27"/>
          <w:szCs w:val="27"/>
          <w:highlight w:val="none"/>
          <w:u w:val="single"/>
        </w:rPr>
        <w:t>（委托代理人姓名）</w:t>
      </w:r>
      <w:r>
        <w:rPr>
          <w:rFonts w:hint="eastAsia" w:ascii="仿宋" w:hAnsi="仿宋" w:eastAsia="仿宋" w:cs="仿宋"/>
          <w:color w:val="auto"/>
          <w:sz w:val="27"/>
          <w:szCs w:val="27"/>
          <w:highlight w:val="none"/>
        </w:rPr>
        <w:t>为全权代表,参加贵处组织的</w:t>
      </w:r>
      <w:r>
        <w:rPr>
          <w:rFonts w:hint="eastAsia" w:ascii="仿宋" w:hAnsi="仿宋" w:eastAsia="仿宋" w:cs="仿宋"/>
          <w:color w:val="auto"/>
          <w:sz w:val="27"/>
          <w:szCs w:val="27"/>
          <w:highlight w:val="none"/>
          <w:u w:val="single"/>
        </w:rPr>
        <w:t>（项目编号）</w:t>
      </w:r>
      <w:r>
        <w:rPr>
          <w:rFonts w:hint="eastAsia" w:ascii="仿宋" w:hAnsi="仿宋" w:eastAsia="仿宋" w:cs="仿宋"/>
          <w:color w:val="auto"/>
          <w:sz w:val="27"/>
          <w:szCs w:val="27"/>
          <w:highlight w:val="none"/>
        </w:rPr>
        <w:t>项目</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活动，全权代表我方处理</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活动中的一切事宜。</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法定代表人（或负责人或经营者）：</w:t>
      </w:r>
      <w:r>
        <w:rPr>
          <w:rFonts w:hint="eastAsia" w:ascii="仿宋" w:hAnsi="仿宋" w:eastAsia="仿宋" w:cs="仿宋"/>
          <w:color w:val="auto"/>
          <w:sz w:val="27"/>
          <w:szCs w:val="27"/>
          <w:highlight w:val="none"/>
          <w:u w:val="single"/>
        </w:rPr>
        <w:t>（签字）</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投标人名称：</w:t>
      </w:r>
      <w:r>
        <w:rPr>
          <w:rFonts w:hint="eastAsia" w:ascii="仿宋" w:hAnsi="仿宋" w:eastAsia="仿宋" w:cs="仿宋"/>
          <w:color w:val="auto"/>
          <w:sz w:val="27"/>
          <w:szCs w:val="27"/>
          <w:highlight w:val="none"/>
          <w:u w:val="single"/>
        </w:rPr>
        <w:t>（公章）</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kern w:val="0"/>
          <w:sz w:val="27"/>
          <w:szCs w:val="27"/>
          <w:highlight w:val="none"/>
        </w:rPr>
        <w:t>年  月  日</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附：</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委托代理人姓名：</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职务：</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电话：</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详细通讯地址：</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邮政编码：</w:t>
      </w:r>
    </w:p>
    <w:tbl>
      <w:tblPr>
        <w:tblStyle w:val="15"/>
        <w:tblW w:w="84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粘贴法定代表人</w:t>
            </w:r>
            <w:r>
              <w:rPr>
                <w:rFonts w:hint="eastAsia" w:ascii="仿宋" w:hAnsi="仿宋" w:eastAsia="仿宋" w:cs="仿宋"/>
                <w:color w:val="auto"/>
                <w:sz w:val="27"/>
                <w:szCs w:val="27"/>
                <w:highlight w:val="none"/>
              </w:rPr>
              <w:t>（或负责人或经营者）</w:t>
            </w:r>
            <w:r>
              <w:rPr>
                <w:rFonts w:hint="eastAsia" w:ascii="仿宋" w:hAnsi="仿宋" w:eastAsia="仿宋" w:cs="仿宋"/>
                <w:color w:val="auto"/>
                <w:kern w:val="0"/>
                <w:sz w:val="27"/>
                <w:szCs w:val="27"/>
                <w:highlight w:val="none"/>
              </w:rPr>
              <w:t>身份证明（原件扫描件正、反两面）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w:t>
            </w:r>
            <w:r>
              <w:rPr>
                <w:rFonts w:hint="eastAsia" w:ascii="仿宋" w:hAnsi="仿宋" w:eastAsia="仿宋" w:cs="仿宋"/>
                <w:color w:val="auto"/>
                <w:sz w:val="27"/>
                <w:szCs w:val="27"/>
                <w:highlight w:val="none"/>
              </w:rPr>
              <w:t>委托代理人</w:t>
            </w:r>
            <w:r>
              <w:rPr>
                <w:rFonts w:hint="eastAsia" w:ascii="仿宋" w:hAnsi="仿宋" w:eastAsia="仿宋" w:cs="仿宋"/>
                <w:color w:val="auto"/>
                <w:kern w:val="0"/>
                <w:sz w:val="27"/>
                <w:szCs w:val="27"/>
                <w:highlight w:val="none"/>
              </w:rPr>
              <w:t>身份证明（原件扫描件正、反两面）</w:t>
            </w:r>
          </w:p>
        </w:tc>
      </w:tr>
    </w:tbl>
    <w:p>
      <w:pPr>
        <w:spacing w:line="400" w:lineRule="exact"/>
        <w:ind w:firstLine="531" w:firstLineChars="196"/>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rPr>
        <w:t>备注：若法定代表人（或负责人或经营者）亲自来参与投标则不需此件，仅须提供法定代表人（或负责人或经营者）证书或证明（格式附后）及本人身份证明〔资格证明文件中法定代表人（或负责人或经营者）证书及本人身份证明均放原件扫描件并加盖投标人公章〕。</w:t>
      </w:r>
    </w:p>
    <w:p>
      <w:pPr>
        <w:spacing w:line="400" w:lineRule="exact"/>
        <w:rPr>
          <w:rFonts w:hint="eastAsia" w:ascii="仿宋" w:hAnsi="仿宋" w:eastAsia="仿宋" w:cs="仿宋"/>
          <w:b/>
          <w:color w:val="auto"/>
          <w:sz w:val="27"/>
          <w:szCs w:val="27"/>
          <w:highlight w:val="none"/>
        </w:rPr>
      </w:pPr>
    </w:p>
    <w:p>
      <w:pPr>
        <w:spacing w:line="400" w:lineRule="exact"/>
        <w:ind w:firstLine="542"/>
        <w:rPr>
          <w:rFonts w:hint="eastAsia" w:ascii="仿宋" w:hAnsi="仿宋" w:eastAsia="仿宋" w:cs="仿宋"/>
          <w:b/>
          <w:color w:val="auto"/>
          <w:sz w:val="27"/>
          <w:szCs w:val="27"/>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法定代表人（或负责人或经营者）证明书</w:t>
      </w: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（适用于法定代表人或负责人或经营者亲自参与投标）</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单位名称： </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地   址：</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姓名： 　  性别：　　　  年龄：　　　  职务：</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身份证号码：</w:t>
      </w:r>
    </w:p>
    <w:p>
      <w:pPr>
        <w:spacing w:line="480" w:lineRule="auto"/>
        <w:ind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系</w:t>
      </w:r>
      <w:r>
        <w:rPr>
          <w:rFonts w:hint="eastAsia" w:ascii="仿宋" w:hAnsi="仿宋" w:eastAsia="仿宋" w:cs="仿宋"/>
          <w:color w:val="auto"/>
          <w:sz w:val="27"/>
          <w:szCs w:val="27"/>
          <w:highlight w:val="none"/>
          <w:u w:val="single"/>
        </w:rPr>
        <w:t xml:space="preserve"> （投标人全称 ）</w:t>
      </w:r>
      <w:r>
        <w:rPr>
          <w:rFonts w:hint="eastAsia" w:ascii="仿宋" w:hAnsi="仿宋" w:eastAsia="仿宋" w:cs="仿宋"/>
          <w:color w:val="auto"/>
          <w:sz w:val="27"/>
          <w:szCs w:val="27"/>
          <w:highlight w:val="none"/>
        </w:rPr>
        <w:t>的法定代表人（或负责人或经营者）。为签署上述项目的投标相关文件和处理与之有关的一切事务。</w:t>
      </w:r>
    </w:p>
    <w:p>
      <w:pPr>
        <w:spacing w:line="480" w:lineRule="auto"/>
        <w:ind w:firstLine="540" w:firstLineChars="2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特此证明。</w:t>
      </w:r>
    </w:p>
    <w:p>
      <w:pPr>
        <w:spacing w:line="480" w:lineRule="auto"/>
        <w:ind w:right="540"/>
        <w:jc w:val="center"/>
        <w:rPr>
          <w:rFonts w:hint="eastAsia" w:ascii="仿宋" w:hAnsi="仿宋" w:eastAsia="仿宋" w:cs="仿宋"/>
          <w:color w:val="auto"/>
          <w:sz w:val="27"/>
          <w:szCs w:val="27"/>
          <w:highlight w:val="none"/>
        </w:rPr>
      </w:pPr>
      <w:r>
        <w:rPr>
          <w:rFonts w:hint="eastAsia" w:ascii="仿宋" w:hAnsi="仿宋" w:eastAsia="仿宋" w:cs="仿宋"/>
          <w:bCs/>
          <w:color w:val="auto"/>
          <w:sz w:val="28"/>
          <w:szCs w:val="28"/>
          <w:highlight w:val="none"/>
        </w:rPr>
        <w:t>投标人</w:t>
      </w:r>
      <w:r>
        <w:rPr>
          <w:rFonts w:hint="eastAsia" w:ascii="仿宋" w:hAnsi="仿宋" w:eastAsia="仿宋" w:cs="仿宋"/>
          <w:color w:val="auto"/>
          <w:kern w:val="0"/>
          <w:sz w:val="27"/>
          <w:szCs w:val="27"/>
          <w:highlight w:val="none"/>
        </w:rPr>
        <w:t>名称：</w:t>
      </w:r>
      <w:r>
        <w:rPr>
          <w:rFonts w:hint="eastAsia" w:ascii="仿宋" w:hAnsi="仿宋" w:eastAsia="仿宋" w:cs="仿宋"/>
          <w:color w:val="auto"/>
          <w:kern w:val="0"/>
          <w:sz w:val="27"/>
          <w:szCs w:val="27"/>
          <w:highlight w:val="none"/>
          <w:u w:val="single"/>
        </w:rPr>
        <w:t>（</w:t>
      </w:r>
      <w:r>
        <w:rPr>
          <w:rFonts w:hint="eastAsia" w:ascii="仿宋" w:hAnsi="仿宋" w:eastAsia="仿宋" w:cs="仿宋"/>
          <w:color w:val="auto"/>
          <w:sz w:val="27"/>
          <w:szCs w:val="27"/>
          <w:highlight w:val="none"/>
          <w:u w:val="single"/>
        </w:rPr>
        <w:t>公章</w:t>
      </w:r>
      <w:r>
        <w:rPr>
          <w:rFonts w:hint="eastAsia" w:ascii="仿宋" w:hAnsi="仿宋" w:eastAsia="仿宋" w:cs="仿宋"/>
          <w:color w:val="auto"/>
          <w:kern w:val="0"/>
          <w:sz w:val="27"/>
          <w:szCs w:val="27"/>
          <w:highlight w:val="none"/>
          <w:u w:val="single"/>
        </w:rPr>
        <w:t>）</w:t>
      </w:r>
    </w:p>
    <w:p>
      <w:pPr>
        <w:spacing w:line="480" w:lineRule="auto"/>
        <w:ind w:firstLine="5400" w:firstLineChars="20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spacing w:line="500" w:lineRule="exact"/>
        <w:rPr>
          <w:rFonts w:hint="eastAsia" w:ascii="仿宋" w:hAnsi="仿宋" w:eastAsia="仿宋" w:cs="仿宋"/>
          <w:bCs/>
          <w:color w:val="auto"/>
          <w:spacing w:val="16"/>
          <w:sz w:val="28"/>
          <w:szCs w:val="28"/>
          <w:highlight w:val="none"/>
        </w:rPr>
      </w:pPr>
    </w:p>
    <w:p>
      <w:pPr>
        <w:spacing w:line="500" w:lineRule="exact"/>
        <w:ind w:firstLine="3080" w:firstLineChars="1100"/>
        <w:rPr>
          <w:rFonts w:hint="eastAsia" w:ascii="仿宋" w:hAnsi="仿宋" w:eastAsia="仿宋" w:cs="仿宋"/>
          <w:bCs/>
          <w:color w:val="auto"/>
          <w:spacing w:val="16"/>
          <w:sz w:val="28"/>
          <w:szCs w:val="28"/>
          <w:highlight w:val="none"/>
        </w:rPr>
      </w:pPr>
      <w:r>
        <w:rPr>
          <w:rFonts w:hint="eastAsia" w:ascii="仿宋" w:hAnsi="仿宋" w:eastAsia="仿宋" w:cs="仿宋"/>
          <w:color w:val="auto"/>
          <w:sz w:val="28"/>
          <w:szCs w:val="28"/>
          <w:highlight w:val="none"/>
        </w:rPr>
        <w:t xml:space="preserve">                           　　　 </w:t>
      </w:r>
    </w:p>
    <w:tbl>
      <w:tblPr>
        <w:tblStyle w:val="15"/>
        <w:tblW w:w="83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25" w:hRule="atLeast"/>
          <w:tblCellSpacing w:w="0" w:type="dxa"/>
        </w:trPr>
        <w:tc>
          <w:tcPr>
            <w:tcW w:w="8340"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7"/>
                <w:szCs w:val="27"/>
                <w:highlight w:val="none"/>
              </w:rPr>
              <w:t>粘贴法定代表人（或负责人或经营者）身份证明（</w:t>
            </w:r>
            <w:r>
              <w:rPr>
                <w:rFonts w:hint="eastAsia" w:ascii="仿宋" w:hAnsi="仿宋" w:eastAsia="仿宋" w:cs="仿宋"/>
                <w:color w:val="auto"/>
                <w:kern w:val="0"/>
                <w:sz w:val="27"/>
                <w:szCs w:val="27"/>
                <w:highlight w:val="none"/>
              </w:rPr>
              <w:t>原件扫描件正、反两面</w:t>
            </w:r>
            <w:r>
              <w:rPr>
                <w:rFonts w:hint="eastAsia" w:ascii="仿宋" w:hAnsi="仿宋" w:eastAsia="仿宋" w:cs="仿宋"/>
                <w:color w:val="auto"/>
                <w:kern w:val="0"/>
                <w:sz w:val="28"/>
                <w:szCs w:val="28"/>
                <w:highlight w:val="none"/>
              </w:rPr>
              <w:t>）</w:t>
            </w:r>
          </w:p>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tc>
      </w:tr>
      <w:bookmarkEnd w:id="34"/>
    </w:tbl>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661A8"/>
    <w:multiLevelType w:val="singleLevel"/>
    <w:tmpl w:val="A0E661A8"/>
    <w:lvl w:ilvl="0" w:tentative="0">
      <w:start w:val="2"/>
      <w:numFmt w:val="chineseCounting"/>
      <w:suff w:val="nothing"/>
      <w:lvlText w:val="%1、"/>
      <w:lvlJc w:val="left"/>
      <w:rPr>
        <w:rFonts w:hint="eastAsia"/>
      </w:rPr>
    </w:lvl>
  </w:abstractNum>
  <w:abstractNum w:abstractNumId="1">
    <w:nsid w:val="3C4D0787"/>
    <w:multiLevelType w:val="multilevel"/>
    <w:tmpl w:val="3C4D0787"/>
    <w:lvl w:ilvl="0" w:tentative="0">
      <w:start w:val="1"/>
      <w:numFmt w:val="decimal"/>
      <w:pStyle w:val="4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D71BA"/>
    <w:rsid w:val="0008625D"/>
    <w:rsid w:val="000D6ED2"/>
    <w:rsid w:val="00110B13"/>
    <w:rsid w:val="00120A39"/>
    <w:rsid w:val="00150A57"/>
    <w:rsid w:val="0019227E"/>
    <w:rsid w:val="001C20BB"/>
    <w:rsid w:val="00205096"/>
    <w:rsid w:val="00256D6F"/>
    <w:rsid w:val="003344C9"/>
    <w:rsid w:val="0036445D"/>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00CF3"/>
    <w:rsid w:val="0C2572FD"/>
    <w:rsid w:val="0C66364B"/>
    <w:rsid w:val="0C856C09"/>
    <w:rsid w:val="0D6E7D8B"/>
    <w:rsid w:val="0DCE68CC"/>
    <w:rsid w:val="0DD7755B"/>
    <w:rsid w:val="0E1519D9"/>
    <w:rsid w:val="0E2A6180"/>
    <w:rsid w:val="0E4324FE"/>
    <w:rsid w:val="0E4D336E"/>
    <w:rsid w:val="0EB71C13"/>
    <w:rsid w:val="0ED10662"/>
    <w:rsid w:val="0F2F7959"/>
    <w:rsid w:val="0F5239A9"/>
    <w:rsid w:val="0F5D26C0"/>
    <w:rsid w:val="0F76579C"/>
    <w:rsid w:val="0F7D03E0"/>
    <w:rsid w:val="0F805A15"/>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DF5349"/>
    <w:rsid w:val="13E67354"/>
    <w:rsid w:val="13E73FA0"/>
    <w:rsid w:val="13F83CF7"/>
    <w:rsid w:val="1437012C"/>
    <w:rsid w:val="14583BCC"/>
    <w:rsid w:val="14A22FD6"/>
    <w:rsid w:val="14C754E5"/>
    <w:rsid w:val="14D80C9A"/>
    <w:rsid w:val="15023AEC"/>
    <w:rsid w:val="15667510"/>
    <w:rsid w:val="15854079"/>
    <w:rsid w:val="158C4A02"/>
    <w:rsid w:val="15AC21BF"/>
    <w:rsid w:val="16076F78"/>
    <w:rsid w:val="163B3F98"/>
    <w:rsid w:val="16885EBB"/>
    <w:rsid w:val="16A21886"/>
    <w:rsid w:val="16CB313C"/>
    <w:rsid w:val="16E33740"/>
    <w:rsid w:val="17896924"/>
    <w:rsid w:val="17976A63"/>
    <w:rsid w:val="17A443B3"/>
    <w:rsid w:val="17CF6E79"/>
    <w:rsid w:val="17E14DF8"/>
    <w:rsid w:val="180E7A2A"/>
    <w:rsid w:val="18110FCF"/>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90CA2"/>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C747FC"/>
    <w:rsid w:val="29E365E4"/>
    <w:rsid w:val="2A443999"/>
    <w:rsid w:val="2A6E4205"/>
    <w:rsid w:val="2A705662"/>
    <w:rsid w:val="2AAA4A40"/>
    <w:rsid w:val="2AE45A50"/>
    <w:rsid w:val="2B2E21A7"/>
    <w:rsid w:val="2B453EFD"/>
    <w:rsid w:val="2B611333"/>
    <w:rsid w:val="2BBD72CC"/>
    <w:rsid w:val="2C040960"/>
    <w:rsid w:val="2C8741DA"/>
    <w:rsid w:val="2D214A5C"/>
    <w:rsid w:val="2D3E59CB"/>
    <w:rsid w:val="2D8644FB"/>
    <w:rsid w:val="2DB54C60"/>
    <w:rsid w:val="2DB969B1"/>
    <w:rsid w:val="2DC040F4"/>
    <w:rsid w:val="2DFD1F1A"/>
    <w:rsid w:val="2E4F43E9"/>
    <w:rsid w:val="2E95725A"/>
    <w:rsid w:val="2EA4407A"/>
    <w:rsid w:val="2EDA520A"/>
    <w:rsid w:val="2EF07DF3"/>
    <w:rsid w:val="2F0213DA"/>
    <w:rsid w:val="2FA56294"/>
    <w:rsid w:val="2FD033B4"/>
    <w:rsid w:val="2FD460F3"/>
    <w:rsid w:val="2FF47023"/>
    <w:rsid w:val="300601D1"/>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337C50"/>
    <w:rsid w:val="36464827"/>
    <w:rsid w:val="36563E48"/>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603C18"/>
    <w:rsid w:val="3AAB2F27"/>
    <w:rsid w:val="3B223A1C"/>
    <w:rsid w:val="3B3D6AFC"/>
    <w:rsid w:val="3B766954"/>
    <w:rsid w:val="3B7819CD"/>
    <w:rsid w:val="3BA102E6"/>
    <w:rsid w:val="3BA350AC"/>
    <w:rsid w:val="3BAF469A"/>
    <w:rsid w:val="3BE92FD2"/>
    <w:rsid w:val="3C063CBC"/>
    <w:rsid w:val="3C427E4F"/>
    <w:rsid w:val="3C706310"/>
    <w:rsid w:val="3C8270F1"/>
    <w:rsid w:val="3C8E29B3"/>
    <w:rsid w:val="3C9A19E3"/>
    <w:rsid w:val="3CB7537E"/>
    <w:rsid w:val="3CF43D1B"/>
    <w:rsid w:val="3D0F6C9F"/>
    <w:rsid w:val="3D1519DC"/>
    <w:rsid w:val="3D2956A5"/>
    <w:rsid w:val="3D2D5FCE"/>
    <w:rsid w:val="3D40142D"/>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4A6F9E"/>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E729E4"/>
    <w:rsid w:val="43F6497A"/>
    <w:rsid w:val="440D072C"/>
    <w:rsid w:val="441962ED"/>
    <w:rsid w:val="448C5D23"/>
    <w:rsid w:val="448F5E00"/>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6E68E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9E3E90"/>
    <w:rsid w:val="54A10B73"/>
    <w:rsid w:val="54A179B3"/>
    <w:rsid w:val="54B71EA1"/>
    <w:rsid w:val="54CB5410"/>
    <w:rsid w:val="54DA1C84"/>
    <w:rsid w:val="54EB3AE9"/>
    <w:rsid w:val="553A0817"/>
    <w:rsid w:val="553E4022"/>
    <w:rsid w:val="55591E60"/>
    <w:rsid w:val="55A80FCE"/>
    <w:rsid w:val="563823DE"/>
    <w:rsid w:val="56587A81"/>
    <w:rsid w:val="5681623C"/>
    <w:rsid w:val="56A71710"/>
    <w:rsid w:val="56AF1A3B"/>
    <w:rsid w:val="573A0A10"/>
    <w:rsid w:val="57620A84"/>
    <w:rsid w:val="57C069CF"/>
    <w:rsid w:val="58081F3F"/>
    <w:rsid w:val="58481929"/>
    <w:rsid w:val="585D3264"/>
    <w:rsid w:val="588475BE"/>
    <w:rsid w:val="58AD6558"/>
    <w:rsid w:val="59340668"/>
    <w:rsid w:val="594D091E"/>
    <w:rsid w:val="5955468D"/>
    <w:rsid w:val="59894511"/>
    <w:rsid w:val="59DD5EEE"/>
    <w:rsid w:val="59F76EE8"/>
    <w:rsid w:val="59F92EFD"/>
    <w:rsid w:val="5A0C360D"/>
    <w:rsid w:val="5A19402F"/>
    <w:rsid w:val="5A215113"/>
    <w:rsid w:val="5A262B48"/>
    <w:rsid w:val="5A663301"/>
    <w:rsid w:val="5AAD059B"/>
    <w:rsid w:val="5ACF7498"/>
    <w:rsid w:val="5AE60239"/>
    <w:rsid w:val="5B035FDF"/>
    <w:rsid w:val="5B1174B9"/>
    <w:rsid w:val="5B4B14EE"/>
    <w:rsid w:val="5B6A215A"/>
    <w:rsid w:val="5B705501"/>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4A6489"/>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A85FE5"/>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402582"/>
    <w:rsid w:val="6C515C69"/>
    <w:rsid w:val="6C9E1841"/>
    <w:rsid w:val="6CDB782E"/>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5">
    <w:name w:val="heading 3"/>
    <w:basedOn w:val="1"/>
    <w:next w:val="1"/>
    <w:semiHidden/>
    <w:unhideWhenUsed/>
    <w:qFormat/>
    <w:uiPriority w:val="0"/>
    <w:pPr>
      <w:jc w:val="left"/>
      <w:outlineLvl w:val="2"/>
    </w:pPr>
    <w:rPr>
      <w:rFonts w:hint="eastAsia" w:ascii="宋体" w:hAnsi="宋体"/>
      <w:b/>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Arial" w:hAnsi="Arial" w:eastAsia="楷体_GB2312"/>
      <w:b/>
      <w:lang w:eastAsia="en-US"/>
    </w:rPr>
  </w:style>
  <w:style w:type="paragraph" w:styleId="6">
    <w:name w:val="Body Text Indent"/>
    <w:basedOn w:val="1"/>
    <w:qFormat/>
    <w:uiPriority w:val="0"/>
    <w:pPr>
      <w:tabs>
        <w:tab w:val="right" w:pos="9638"/>
      </w:tabs>
      <w:spacing w:line="680" w:lineRule="exact"/>
      <w:ind w:firstLine="640" w:firstLineChars="200"/>
    </w:pPr>
    <w:rPr>
      <w:rFonts w:ascii="宋体" w:hAnsi="宋体"/>
      <w:sz w:val="32"/>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Verdana"/>
      <w:b/>
      <w:szCs w:val="20"/>
    </w:rPr>
  </w:style>
  <w:style w:type="paragraph" w:styleId="9">
    <w:name w:val="Body Text Indent 2"/>
    <w:basedOn w:val="1"/>
    <w:unhideWhenUsed/>
    <w:qFormat/>
    <w:uiPriority w:val="99"/>
    <w:pPr>
      <w:spacing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9514"/>
      </w:tabs>
      <w:spacing w:line="360" w:lineRule="auto"/>
      <w:ind w:left="-360" w:leftChars="-257" w:hanging="180" w:hangingChars="50"/>
    </w:pPr>
  </w:style>
  <w:style w:type="paragraph" w:styleId="13">
    <w:name w:val="toc 2"/>
    <w:basedOn w:val="1"/>
    <w:next w:val="1"/>
    <w:qFormat/>
    <w:uiPriority w:val="0"/>
    <w:pPr>
      <w:ind w:left="210"/>
      <w:jc w:val="left"/>
    </w:pPr>
    <w:rPr>
      <w:smallCaps/>
      <w:szCs w:val="20"/>
    </w:rPr>
  </w:style>
  <w:style w:type="paragraph" w:styleId="14">
    <w:name w:val="Normal (Web)"/>
    <w:basedOn w:val="1"/>
    <w:qFormat/>
    <w:uiPriority w:val="0"/>
    <w:rPr>
      <w:sz w:val="24"/>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8">
    <w:name w:val="Strong"/>
    <w:basedOn w:val="17"/>
    <w:qFormat/>
    <w:uiPriority w:val="0"/>
    <w:rPr>
      <w:b/>
      <w:sz w:val="24"/>
      <w:szCs w:val="24"/>
    </w:rPr>
  </w:style>
  <w:style w:type="character" w:styleId="19">
    <w:name w:val="page number"/>
    <w:basedOn w:val="17"/>
    <w:qFormat/>
    <w:uiPriority w:val="0"/>
  </w:style>
  <w:style w:type="character" w:styleId="20">
    <w:name w:val="FollowedHyperlink"/>
    <w:basedOn w:val="17"/>
    <w:qFormat/>
    <w:uiPriority w:val="0"/>
    <w:rPr>
      <w:color w:val="800080"/>
      <w:u w:val="none"/>
    </w:rPr>
  </w:style>
  <w:style w:type="character" w:styleId="21">
    <w:name w:val="Emphasis"/>
    <w:basedOn w:val="17"/>
    <w:qFormat/>
    <w:uiPriority w:val="0"/>
    <w:rPr>
      <w:b/>
      <w:bdr w:val="single" w:color="D6D6D6" w:sz="6" w:space="0"/>
      <w:shd w:val="clear" w:color="auto" w:fill="F9F9F9"/>
    </w:rPr>
  </w:style>
  <w:style w:type="character" w:styleId="22">
    <w:name w:val="HTML Definition"/>
    <w:basedOn w:val="17"/>
    <w:qFormat/>
    <w:uiPriority w:val="0"/>
    <w:rPr>
      <w:color w:val="FFFFFF"/>
      <w:shd w:val="clear" w:color="auto" w:fill="048FD2"/>
    </w:rPr>
  </w:style>
  <w:style w:type="character" w:styleId="23">
    <w:name w:val="HTML Typewriter"/>
    <w:basedOn w:val="17"/>
    <w:qFormat/>
    <w:uiPriority w:val="0"/>
    <w:rPr>
      <w:rFonts w:hint="default"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basedOn w:val="17"/>
    <w:qFormat/>
    <w:uiPriority w:val="0"/>
    <w:rPr>
      <w:color w:val="0000FF"/>
      <w:u w:val="none"/>
    </w:rPr>
  </w:style>
  <w:style w:type="character" w:styleId="27">
    <w:name w:val="HTML Code"/>
    <w:basedOn w:val="17"/>
    <w:qFormat/>
    <w:uiPriority w:val="0"/>
    <w:rPr>
      <w:rFonts w:hint="default" w:ascii="monospace" w:hAnsi="monospace" w:eastAsia="monospace" w:cs="monospace"/>
      <w:sz w:val="20"/>
    </w:rPr>
  </w:style>
  <w:style w:type="character" w:styleId="28">
    <w:name w:val="HTML Cite"/>
    <w:basedOn w:val="17"/>
    <w:qFormat/>
    <w:uiPriority w:val="0"/>
  </w:style>
  <w:style w:type="character" w:styleId="29">
    <w:name w:val="HTML Keyboard"/>
    <w:basedOn w:val="17"/>
    <w:qFormat/>
    <w:uiPriority w:val="0"/>
    <w:rPr>
      <w:rFonts w:hint="default" w:ascii="monospace" w:hAnsi="monospace" w:eastAsia="monospace" w:cs="monospace"/>
      <w:sz w:val="20"/>
    </w:rPr>
  </w:style>
  <w:style w:type="character" w:styleId="30">
    <w:name w:val="HTML Sample"/>
    <w:basedOn w:val="17"/>
    <w:qFormat/>
    <w:uiPriority w:val="0"/>
    <w:rPr>
      <w:rFonts w:ascii="monospace" w:hAnsi="monospace" w:eastAsia="monospace" w:cs="monospace"/>
    </w:rPr>
  </w:style>
  <w:style w:type="character" w:customStyle="1" w:styleId="31">
    <w:name w:val="font31"/>
    <w:basedOn w:val="17"/>
    <w:qFormat/>
    <w:uiPriority w:val="0"/>
    <w:rPr>
      <w:rFonts w:hint="eastAsia" w:ascii="宋体" w:hAnsi="宋体" w:eastAsia="宋体" w:cs="宋体"/>
      <w:color w:val="000000"/>
      <w:sz w:val="20"/>
      <w:szCs w:val="20"/>
      <w:u w:val="none"/>
    </w:rPr>
  </w:style>
  <w:style w:type="character" w:customStyle="1" w:styleId="32">
    <w:name w:val="font01"/>
    <w:basedOn w:val="17"/>
    <w:qFormat/>
    <w:uiPriority w:val="0"/>
    <w:rPr>
      <w:rFonts w:hint="eastAsia" w:ascii="宋体" w:hAnsi="宋体" w:eastAsia="宋体" w:cs="宋体"/>
      <w:color w:val="000000"/>
      <w:sz w:val="20"/>
      <w:szCs w:val="20"/>
      <w:u w:val="none"/>
      <w:vertAlign w:val="superscript"/>
    </w:rPr>
  </w:style>
  <w:style w:type="paragraph" w:customStyle="1" w:styleId="33">
    <w:name w:val="监标题3"/>
    <w:basedOn w:val="1"/>
    <w:qFormat/>
    <w:uiPriority w:val="0"/>
    <w:pPr>
      <w:spacing w:line="560" w:lineRule="exact"/>
      <w:jc w:val="center"/>
    </w:pPr>
    <w:rPr>
      <w:rFonts w:ascii="宋体" w:hAnsi="宋体"/>
      <w:b/>
      <w:color w:val="000000"/>
      <w:sz w:val="28"/>
      <w:szCs w:val="20"/>
    </w:rPr>
  </w:style>
  <w:style w:type="character" w:customStyle="1" w:styleId="34">
    <w:name w:val="font11"/>
    <w:basedOn w:val="17"/>
    <w:qFormat/>
    <w:uiPriority w:val="0"/>
    <w:rPr>
      <w:rFonts w:hint="eastAsia" w:ascii="宋体" w:hAnsi="宋体" w:eastAsia="宋体" w:cs="宋体"/>
      <w:color w:val="000000"/>
      <w:sz w:val="22"/>
      <w:szCs w:val="22"/>
      <w:u w:val="none"/>
    </w:rPr>
  </w:style>
  <w:style w:type="paragraph" w:customStyle="1" w:styleId="35">
    <w:name w:val="列出段落1"/>
    <w:basedOn w:val="1"/>
    <w:qFormat/>
    <w:uiPriority w:val="34"/>
    <w:pPr>
      <w:ind w:firstLine="420" w:firstLineChars="200"/>
    </w:pPr>
  </w:style>
  <w:style w:type="character" w:customStyle="1" w:styleId="36">
    <w:name w:val="font21"/>
    <w:basedOn w:val="17"/>
    <w:qFormat/>
    <w:uiPriority w:val="0"/>
    <w:rPr>
      <w:rFonts w:hint="eastAsia" w:ascii="宋体" w:hAnsi="宋体" w:eastAsia="宋体" w:cs="宋体"/>
      <w:color w:val="000000"/>
      <w:sz w:val="20"/>
      <w:szCs w:val="20"/>
      <w:u w:val="none"/>
      <w:vertAlign w:val="superscript"/>
    </w:rPr>
  </w:style>
  <w:style w:type="character" w:customStyle="1" w:styleId="37">
    <w:name w:val="font111"/>
    <w:basedOn w:val="17"/>
    <w:qFormat/>
    <w:uiPriority w:val="0"/>
    <w:rPr>
      <w:rFonts w:hint="eastAsia" w:ascii="宋体" w:hAnsi="宋体" w:eastAsia="宋体" w:cs="宋体"/>
      <w:color w:val="000000"/>
      <w:sz w:val="20"/>
      <w:szCs w:val="20"/>
      <w:u w:val="none"/>
      <w:vertAlign w:val="superscript"/>
    </w:rPr>
  </w:style>
  <w:style w:type="paragraph" w:customStyle="1" w:styleId="38">
    <w:name w:val="列出段落2"/>
    <w:basedOn w:val="1"/>
    <w:unhideWhenUsed/>
    <w:qFormat/>
    <w:uiPriority w:val="99"/>
    <w:pPr>
      <w:ind w:firstLine="420" w:firstLineChars="200"/>
    </w:pPr>
  </w:style>
  <w:style w:type="paragraph" w:customStyle="1" w:styleId="39">
    <w:name w:val="U_正文2"/>
    <w:basedOn w:val="1"/>
    <w:qFormat/>
    <w:uiPriority w:val="0"/>
    <w:pPr>
      <w:spacing w:beforeLines="10" w:afterLines="10" w:line="300" w:lineRule="auto"/>
    </w:pPr>
    <w:rPr>
      <w:rFonts w:ascii="Calibri" w:hAnsi="Calibri"/>
      <w:sz w:val="24"/>
      <w:szCs w:val="20"/>
    </w:rPr>
  </w:style>
  <w:style w:type="paragraph" w:customStyle="1" w:styleId="40">
    <w:name w:val="U_正文"/>
    <w:basedOn w:val="1"/>
    <w:qFormat/>
    <w:uiPriority w:val="0"/>
    <w:pPr>
      <w:spacing w:beforeLines="20" w:afterLines="20" w:line="300" w:lineRule="auto"/>
      <w:ind w:firstLine="200" w:firstLineChars="200"/>
    </w:pPr>
    <w:rPr>
      <w:rFonts w:ascii="Calibri" w:hAnsi="Calibri"/>
      <w:sz w:val="24"/>
      <w:szCs w:val="20"/>
    </w:rPr>
  </w:style>
  <w:style w:type="paragraph" w:customStyle="1" w:styleId="41">
    <w:name w:val="U_编号"/>
    <w:basedOn w:val="1"/>
    <w:qFormat/>
    <w:uiPriority w:val="0"/>
    <w:pPr>
      <w:numPr>
        <w:ilvl w:val="0"/>
        <w:numId w:val="1"/>
      </w:numPr>
      <w:tabs>
        <w:tab w:val="left" w:pos="425"/>
        <w:tab w:val="clear" w:pos="420"/>
      </w:tabs>
      <w:spacing w:beforeLines="10" w:afterLines="10" w:line="300" w:lineRule="auto"/>
      <w:ind w:left="425" w:hanging="425"/>
    </w:pPr>
    <w:rPr>
      <w:rFonts w:ascii="Calibri" w:hAnsi="Calibri"/>
      <w:sz w:val="24"/>
      <w:szCs w:val="20"/>
    </w:rPr>
  </w:style>
  <w:style w:type="paragraph" w:styleId="4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38</Pages>
  <Words>2345</Words>
  <Characters>13371</Characters>
  <Lines>111</Lines>
  <Paragraphs>31</Paragraphs>
  <TotalTime>21</TotalTime>
  <ScaleCrop>false</ScaleCrop>
  <LinksUpToDate>false</LinksUpToDate>
  <CharactersWithSpaces>15685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Administrator</cp:lastModifiedBy>
  <cp:lastPrinted>2021-06-22T07:03:00Z</cp:lastPrinted>
  <dcterms:modified xsi:type="dcterms:W3CDTF">2021-09-07T03:15:34Z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9757BC6343A446379646FE5D8119DCC1</vt:lpwstr>
  </property>
</Properties>
</file>